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3A09F0">
        <w:rPr>
          <w:rFonts w:ascii="Calibri" w:eastAsia="Calibri" w:hAnsi="Calibri"/>
          <w:snapToGrid/>
          <w:sz w:val="22"/>
          <w:szCs w:val="22"/>
          <w:lang w:eastAsia="en-US"/>
        </w:rPr>
        <w:t xml:space="preserve">                                          И.О.  н</w:t>
      </w:r>
      <w:r w:rsidRPr="00A756A8">
        <w:rPr>
          <w:rFonts w:ascii="Calibri" w:eastAsia="Calibri" w:hAnsi="Calibri"/>
          <w:snapToGrid/>
          <w:sz w:val="22"/>
          <w:szCs w:val="22"/>
          <w:lang w:eastAsia="en-US"/>
        </w:rPr>
        <w:t>ачальник</w:t>
      </w:r>
      <w:r w:rsidR="003A09F0">
        <w:rPr>
          <w:rFonts w:ascii="Calibri" w:eastAsia="Calibri" w:hAnsi="Calibri"/>
          <w:snapToGrid/>
          <w:sz w:val="22"/>
          <w:szCs w:val="22"/>
          <w:lang w:eastAsia="en-US"/>
        </w:rPr>
        <w:t>а</w:t>
      </w:r>
      <w:r w:rsidRPr="00A756A8">
        <w:rPr>
          <w:rFonts w:ascii="Calibri" w:eastAsia="Calibri" w:hAnsi="Calibri"/>
          <w:snapToGrid/>
          <w:sz w:val="22"/>
          <w:szCs w:val="22"/>
          <w:lang w:eastAsia="en-US"/>
        </w:rPr>
        <w:t xml:space="preserve"> отдела ресурсообеспечения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ф</w:t>
      </w:r>
      <w:r w:rsidRPr="00A756A8">
        <w:rPr>
          <w:rFonts w:ascii="Calibri" w:eastAsia="Calibri" w:hAnsi="Calibri"/>
          <w:snapToGrid/>
          <w:sz w:val="22"/>
          <w:szCs w:val="22"/>
          <w:lang w:eastAsia="en-US"/>
        </w:rPr>
        <w:t>илиала «Яйвинская ГРЭС» ОАО «Э.ОН Россия»</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_________________________ </w:t>
      </w:r>
      <w:r w:rsidR="003A09F0">
        <w:rPr>
          <w:rFonts w:ascii="Calibri" w:eastAsia="Calibri" w:hAnsi="Calibri"/>
          <w:snapToGrid/>
          <w:sz w:val="22"/>
          <w:szCs w:val="22"/>
          <w:lang w:eastAsia="en-US"/>
        </w:rPr>
        <w:t>Н.В. Мязина</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«______» ________________ 2015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ОАО «Э.ОН  РОССИЯ»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Pr="00925A92">
        <w:rPr>
          <w:snapToGrid/>
          <w:sz w:val="24"/>
          <w:szCs w:val="24"/>
        </w:rPr>
        <w:t>2015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6339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6339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6339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6339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6339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6339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6339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6339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6339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6339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3A09F0">
        <w:rPr>
          <w:i/>
          <w:sz w:val="24"/>
          <w:szCs w:val="24"/>
        </w:rPr>
        <w:t>60599</w:t>
      </w:r>
      <w:r w:rsidR="00DE2D73" w:rsidRPr="00716507">
        <w:rPr>
          <w:i/>
          <w:sz w:val="24"/>
          <w:szCs w:val="24"/>
        </w:rPr>
        <w:t>-1 от 1</w:t>
      </w:r>
      <w:r w:rsidR="00716507" w:rsidRPr="00716507">
        <w:rPr>
          <w:i/>
          <w:sz w:val="24"/>
          <w:szCs w:val="24"/>
        </w:rPr>
        <w:t>6</w:t>
      </w:r>
      <w:r w:rsidR="003A09F0">
        <w:rPr>
          <w:i/>
          <w:sz w:val="24"/>
          <w:szCs w:val="24"/>
        </w:rPr>
        <w:t>.10</w:t>
      </w:r>
      <w:r w:rsidR="00F615D3" w:rsidRPr="00716507">
        <w:rPr>
          <w:i/>
          <w:sz w:val="24"/>
          <w:szCs w:val="24"/>
        </w:rPr>
        <w:t>.2015 г.</w:t>
      </w:r>
      <w:r w:rsidRPr="00716507">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3A09F0" w:rsidRDefault="00EA7394" w:rsidP="003A09F0">
            <w:pPr>
              <w:autoSpaceDE w:val="0"/>
              <w:autoSpaceDN w:val="0"/>
              <w:adjustRightInd w:val="0"/>
              <w:spacing w:line="276" w:lineRule="auto"/>
              <w:ind w:right="-72" w:firstLine="0"/>
              <w:jc w:val="left"/>
              <w:rPr>
                <w:bCs/>
                <w:sz w:val="24"/>
                <w:szCs w:val="24"/>
              </w:rPr>
            </w:pPr>
            <w:r>
              <w:rPr>
                <w:bCs/>
                <w:sz w:val="24"/>
                <w:szCs w:val="24"/>
              </w:rPr>
              <w:t xml:space="preserve">Поставка </w:t>
            </w:r>
            <w:r w:rsidR="003A09F0">
              <w:rPr>
                <w:bCs/>
                <w:sz w:val="24"/>
                <w:szCs w:val="24"/>
              </w:rPr>
              <w:t xml:space="preserve">сервисных пакетов </w:t>
            </w:r>
            <w:r w:rsidR="003A09F0">
              <w:rPr>
                <w:bCs/>
                <w:sz w:val="24"/>
                <w:szCs w:val="24"/>
                <w:lang w:val="en-US"/>
              </w:rPr>
              <w:t>IBM</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BC5425" w:rsidRPr="00716507">
              <w:rPr>
                <w:sz w:val="24"/>
                <w:szCs w:val="24"/>
                <w:lang w:eastAsia="en-US"/>
              </w:rPr>
              <w:t xml:space="preserve">ОАО «Э.ОН Россия»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одела ресурсообеспечения</w:t>
            </w:r>
            <w:r w:rsidRPr="00F3026D">
              <w:rPr>
                <w:sz w:val="24"/>
                <w:szCs w:val="24"/>
                <w:lang w:eastAsia="en-US"/>
              </w:rPr>
              <w:t xml:space="preserve">: </w:t>
            </w:r>
            <w:r w:rsidR="003A09F0">
              <w:rPr>
                <w:sz w:val="24"/>
                <w:szCs w:val="24"/>
                <w:lang w:eastAsia="en-US"/>
              </w:rPr>
              <w:t>Гаррехт Инна Васильевна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003A09F0" w:rsidRPr="00E53E06">
                <w:rPr>
                  <w:rStyle w:val="af2"/>
                  <w:sz w:val="24"/>
                  <w:szCs w:val="24"/>
                  <w:lang w:val="en-US" w:eastAsia="en-US"/>
                </w:rPr>
                <w:t>garrekht</w:t>
              </w:r>
              <w:r w:rsidR="003A09F0" w:rsidRPr="003A09F0">
                <w:rPr>
                  <w:rStyle w:val="af2"/>
                  <w:sz w:val="24"/>
                  <w:szCs w:val="24"/>
                  <w:lang w:eastAsia="en-US"/>
                </w:rPr>
                <w:t>_</w:t>
              </w:r>
              <w:r w:rsidR="003A09F0" w:rsidRPr="00E53E06">
                <w:rPr>
                  <w:rStyle w:val="af2"/>
                  <w:sz w:val="24"/>
                  <w:szCs w:val="24"/>
                  <w:lang w:val="en-US" w:eastAsia="en-US"/>
                </w:rPr>
                <w:t>i</w:t>
              </w:r>
              <w:r w:rsidR="003A09F0" w:rsidRPr="00E53E06">
                <w:rPr>
                  <w:rStyle w:val="af2"/>
                  <w:sz w:val="24"/>
                  <w:szCs w:val="24"/>
                  <w:lang w:eastAsia="en-US"/>
                </w:rPr>
                <w:t>@</w:t>
              </w:r>
              <w:r w:rsidR="003A09F0" w:rsidRPr="00E53E06">
                <w:rPr>
                  <w:rStyle w:val="af2"/>
                  <w:sz w:val="24"/>
                  <w:szCs w:val="24"/>
                  <w:lang w:val="en-US" w:eastAsia="en-US"/>
                </w:rPr>
                <w:t>eon</w:t>
              </w:r>
              <w:r w:rsidR="003A09F0" w:rsidRPr="00E53E06">
                <w:rPr>
                  <w:rStyle w:val="af2"/>
                  <w:sz w:val="24"/>
                  <w:szCs w:val="24"/>
                  <w:lang w:eastAsia="en-US"/>
                </w:rPr>
                <w:t>-</w:t>
              </w:r>
              <w:r w:rsidR="003A09F0" w:rsidRPr="00E53E06">
                <w:rPr>
                  <w:rStyle w:val="af2"/>
                  <w:sz w:val="24"/>
                  <w:szCs w:val="24"/>
                  <w:lang w:val="en-US" w:eastAsia="en-US"/>
                </w:rPr>
                <w:t>russia</w:t>
              </w:r>
              <w:r w:rsidR="003A09F0" w:rsidRPr="00E53E06">
                <w:rPr>
                  <w:rStyle w:val="af2"/>
                  <w:sz w:val="24"/>
                  <w:szCs w:val="24"/>
                  <w:lang w:eastAsia="en-US"/>
                </w:rPr>
                <w:t>.</w:t>
              </w:r>
              <w:r w:rsidR="003A09F0" w:rsidRPr="00E53E06">
                <w:rPr>
                  <w:rStyle w:val="af2"/>
                  <w:sz w:val="24"/>
                  <w:szCs w:val="24"/>
                  <w:lang w:val="en-US" w:eastAsia="en-US"/>
                </w:rPr>
                <w:t>ru</w:t>
              </w:r>
            </w:hyperlink>
            <w:r w:rsidR="00D92B0A" w:rsidRPr="00D92B0A">
              <w:rPr>
                <w:sz w:val="24"/>
                <w:szCs w:val="24"/>
                <w:lang w:eastAsia="en-US"/>
              </w:rPr>
              <w:t xml:space="preserve"> </w:t>
            </w:r>
          </w:p>
          <w:p w:rsidR="00BC5425" w:rsidRPr="00D92B0A" w:rsidRDefault="00BC5425" w:rsidP="003714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A09F0">
              <w:rPr>
                <w:sz w:val="24"/>
                <w:szCs w:val="24"/>
                <w:lang w:val="en-US" w:eastAsia="en-US"/>
              </w:rPr>
              <w:t>24-505</w:t>
            </w:r>
            <w:r w:rsidR="00D92B0A" w:rsidRPr="00D92B0A">
              <w:rPr>
                <w:sz w:val="24"/>
                <w:szCs w:val="24"/>
                <w:lang w:eastAsia="en-US"/>
              </w:rPr>
              <w:t xml:space="preserve"> </w:t>
            </w:r>
          </w:p>
        </w:tc>
      </w:tr>
      <w:tr w:rsidR="00BC5425" w:rsidRPr="00F3026D" w:rsidTr="00C832FC">
        <w:trPr>
          <w:trHeight w:val="177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3026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7142B" w:rsidRPr="00716507">
              <w:rPr>
                <w:sz w:val="24"/>
                <w:szCs w:val="24"/>
                <w:lang w:eastAsia="en-US"/>
              </w:rPr>
              <w:t>1</w:t>
            </w:r>
            <w:r w:rsidR="00716507" w:rsidRPr="00716507">
              <w:rPr>
                <w:sz w:val="24"/>
                <w:szCs w:val="24"/>
                <w:lang w:eastAsia="en-US"/>
              </w:rPr>
              <w:t>6</w:t>
            </w:r>
            <w:r w:rsidRPr="00716507">
              <w:rPr>
                <w:sz w:val="24"/>
                <w:szCs w:val="24"/>
                <w:lang w:eastAsia="en-US"/>
              </w:rPr>
              <w:t>.</w:t>
            </w:r>
            <w:r w:rsidR="003A09F0">
              <w:rPr>
                <w:sz w:val="24"/>
                <w:szCs w:val="24"/>
                <w:lang w:val="en-US" w:eastAsia="en-US"/>
              </w:rPr>
              <w:t>10</w:t>
            </w:r>
            <w:r w:rsidRPr="00716507">
              <w:rPr>
                <w:sz w:val="24"/>
                <w:szCs w:val="24"/>
                <w:lang w:eastAsia="en-US"/>
              </w:rPr>
              <w:t>.20</w:t>
            </w:r>
            <w:r w:rsidR="00D92B0A" w:rsidRPr="00716507">
              <w:rPr>
                <w:sz w:val="24"/>
                <w:szCs w:val="24"/>
                <w:lang w:eastAsia="en-US"/>
              </w:rPr>
              <w:t xml:space="preserve">15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A09F0">
              <w:rPr>
                <w:sz w:val="24"/>
                <w:szCs w:val="24"/>
                <w:lang w:eastAsia="en-US"/>
              </w:rPr>
              <w:t>1</w:t>
            </w:r>
            <w:r w:rsidR="003A09F0" w:rsidRPr="003A09F0">
              <w:rPr>
                <w:sz w:val="24"/>
                <w:szCs w:val="24"/>
                <w:lang w:eastAsia="en-US"/>
              </w:rPr>
              <w:t>4</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3A09F0">
              <w:rPr>
                <w:sz w:val="24"/>
                <w:szCs w:val="24"/>
                <w:lang w:eastAsia="en-US"/>
              </w:rPr>
              <w:t>2</w:t>
            </w:r>
            <w:r w:rsidR="003A09F0" w:rsidRPr="003A09F0">
              <w:rPr>
                <w:sz w:val="24"/>
                <w:szCs w:val="24"/>
                <w:lang w:eastAsia="en-US"/>
              </w:rPr>
              <w:t>3</w:t>
            </w:r>
            <w:r w:rsidRPr="00716507">
              <w:rPr>
                <w:sz w:val="24"/>
                <w:szCs w:val="24"/>
                <w:lang w:eastAsia="en-US"/>
              </w:rPr>
              <w:t>.</w:t>
            </w:r>
            <w:r w:rsidR="003A09F0" w:rsidRPr="003A09F0">
              <w:rPr>
                <w:sz w:val="24"/>
                <w:szCs w:val="24"/>
                <w:lang w:eastAsia="en-US"/>
              </w:rPr>
              <w:t>10</w:t>
            </w:r>
            <w:r w:rsidR="000D23C6" w:rsidRPr="00716507">
              <w:rPr>
                <w:sz w:val="24"/>
                <w:szCs w:val="24"/>
                <w:lang w:eastAsia="en-US"/>
              </w:rPr>
              <w:t>.</w:t>
            </w:r>
            <w:r w:rsidRPr="00716507">
              <w:rPr>
                <w:sz w:val="24"/>
                <w:szCs w:val="24"/>
                <w:lang w:eastAsia="en-US"/>
              </w:rPr>
              <w:t>20</w:t>
            </w:r>
            <w:r w:rsidR="000D23C6" w:rsidRPr="00716507">
              <w:rPr>
                <w:sz w:val="24"/>
                <w:szCs w:val="24"/>
                <w:lang w:eastAsia="en-US"/>
              </w:rPr>
              <w:t xml:space="preserve">15 </w:t>
            </w:r>
            <w:r w:rsidRPr="0071650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2" w:history="1">
              <w:r w:rsidR="003A09F0" w:rsidRPr="00E53E06">
                <w:rPr>
                  <w:rStyle w:val="af2"/>
                  <w:sz w:val="24"/>
                  <w:szCs w:val="24"/>
                  <w:lang w:val="en-US" w:eastAsia="en-US"/>
                </w:rPr>
                <w:t>garrekht</w:t>
              </w:r>
              <w:r w:rsidR="003A09F0" w:rsidRPr="00E53E06">
                <w:rPr>
                  <w:rStyle w:val="af2"/>
                  <w:sz w:val="24"/>
                  <w:szCs w:val="24"/>
                  <w:lang w:eastAsia="en-US"/>
                </w:rPr>
                <w:t>_</w:t>
              </w:r>
              <w:r w:rsidR="003A09F0" w:rsidRPr="00E53E06">
                <w:rPr>
                  <w:rStyle w:val="af2"/>
                  <w:sz w:val="24"/>
                  <w:szCs w:val="24"/>
                  <w:lang w:val="en-US" w:eastAsia="en-US"/>
                </w:rPr>
                <w:t>i</w:t>
              </w:r>
              <w:r w:rsidR="003A09F0" w:rsidRPr="00E53E06">
                <w:rPr>
                  <w:rStyle w:val="af2"/>
                  <w:sz w:val="24"/>
                  <w:szCs w:val="24"/>
                  <w:lang w:eastAsia="en-US"/>
                </w:rPr>
                <w:t>@</w:t>
              </w:r>
              <w:r w:rsidR="003A09F0" w:rsidRPr="00E53E06">
                <w:rPr>
                  <w:rStyle w:val="af2"/>
                  <w:sz w:val="24"/>
                  <w:szCs w:val="24"/>
                  <w:lang w:val="en-US" w:eastAsia="en-US"/>
                </w:rPr>
                <w:t>eon</w:t>
              </w:r>
              <w:r w:rsidR="003A09F0" w:rsidRPr="00E53E06">
                <w:rPr>
                  <w:rStyle w:val="af2"/>
                  <w:sz w:val="24"/>
                  <w:szCs w:val="24"/>
                  <w:lang w:eastAsia="en-US"/>
                </w:rPr>
                <w:t>-</w:t>
              </w:r>
              <w:r w:rsidR="003A09F0" w:rsidRPr="00E53E06">
                <w:rPr>
                  <w:rStyle w:val="af2"/>
                  <w:sz w:val="24"/>
                  <w:szCs w:val="24"/>
                  <w:lang w:val="en-US" w:eastAsia="en-US"/>
                </w:rPr>
                <w:t>russia</w:t>
              </w:r>
              <w:r w:rsidR="003A09F0" w:rsidRPr="00E53E06">
                <w:rPr>
                  <w:rStyle w:val="af2"/>
                  <w:sz w:val="24"/>
                  <w:szCs w:val="24"/>
                  <w:lang w:eastAsia="en-US"/>
                </w:rPr>
                <w:t>.</w:t>
              </w:r>
              <w:r w:rsidR="003A09F0" w:rsidRPr="00E53E06">
                <w:rPr>
                  <w:rStyle w:val="af2"/>
                  <w:sz w:val="24"/>
                  <w:szCs w:val="24"/>
                  <w:lang w:val="en-US" w:eastAsia="en-US"/>
                </w:rPr>
                <w:t>ru</w:t>
              </w:r>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716507">
              <w:rPr>
                <w:sz w:val="24"/>
                <w:szCs w:val="24"/>
              </w:rPr>
              <w:t>5</w:t>
            </w:r>
            <w:r w:rsidR="00664FC7">
              <w:rPr>
                <w:sz w:val="24"/>
                <w:szCs w:val="24"/>
              </w:rPr>
              <w:t xml:space="preserve"> </w:t>
            </w:r>
            <w:r w:rsidRPr="00F3026D">
              <w:rPr>
                <w:sz w:val="24"/>
                <w:szCs w:val="24"/>
              </w:rPr>
              <w:t xml:space="preserve"> «Техническая часть»</w:t>
            </w:r>
            <w:r w:rsidRPr="00F3026D">
              <w:rPr>
                <w:i/>
                <w:sz w:val="24"/>
                <w:szCs w:val="24"/>
              </w:rPr>
              <w:t>:</w:t>
            </w:r>
          </w:p>
          <w:p w:rsidR="00BC5425" w:rsidRPr="00F3026D" w:rsidRDefault="003A09F0" w:rsidP="00F3026D">
            <w:pPr>
              <w:tabs>
                <w:tab w:val="left" w:pos="0"/>
                <w:tab w:val="left" w:pos="5657"/>
              </w:tabs>
              <w:spacing w:line="276" w:lineRule="auto"/>
              <w:ind w:left="540" w:right="153" w:hanging="540"/>
              <w:jc w:val="left"/>
              <w:rPr>
                <w:i/>
                <w:sz w:val="24"/>
                <w:szCs w:val="24"/>
              </w:rPr>
            </w:pPr>
            <w:r>
              <w:rPr>
                <w:sz w:val="24"/>
                <w:szCs w:val="24"/>
                <w:lang w:eastAsia="en-US"/>
              </w:rPr>
              <w:t>дека</w:t>
            </w:r>
            <w:r w:rsidR="007B2996">
              <w:rPr>
                <w:sz w:val="24"/>
                <w:szCs w:val="24"/>
                <w:lang w:eastAsia="en-US"/>
              </w:rPr>
              <w:t>брь 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ОАО «Э.ОН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EA7394">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ОАО </w:t>
            </w:r>
            <w:r w:rsidR="003D0628" w:rsidRPr="00716507">
              <w:rPr>
                <w:bCs/>
                <w:sz w:val="24"/>
                <w:szCs w:val="24"/>
              </w:rPr>
              <w:lastRenderedPageBreak/>
              <w:t xml:space="preserve">«Э.ОН РОССИЯ»,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AF0ED9" w:rsidRPr="008D131F" w:rsidRDefault="00AF0ED9" w:rsidP="00AF0ED9">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AF0ED9" w:rsidRPr="008D131F" w:rsidRDefault="00AF0ED9" w:rsidP="00AF0ED9">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F0ED9" w:rsidRPr="008D131F" w:rsidRDefault="00AF0ED9" w:rsidP="00AF0ED9">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AF0ED9" w:rsidRPr="008D131F" w:rsidRDefault="00AF0ED9" w:rsidP="00AF0ED9">
            <w:pPr>
              <w:spacing w:line="240" w:lineRule="auto"/>
              <w:rPr>
                <w:sz w:val="24"/>
                <w:szCs w:val="24"/>
              </w:rPr>
            </w:pPr>
            <w:r w:rsidRPr="008D131F">
              <w:rPr>
                <w:sz w:val="24"/>
                <w:szCs w:val="24"/>
              </w:rPr>
              <w:t>-    паспортом на изделие;</w:t>
            </w:r>
          </w:p>
          <w:p w:rsidR="00AF0ED9" w:rsidRPr="008D131F" w:rsidRDefault="00AF0ED9" w:rsidP="00AF0ED9">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AF0ED9" w:rsidRPr="008D131F" w:rsidRDefault="00AF0ED9" w:rsidP="00AF0ED9">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w:t>
            </w:r>
            <w:r w:rsidRPr="008D131F">
              <w:rPr>
                <w:sz w:val="24"/>
                <w:szCs w:val="24"/>
              </w:rPr>
              <w:lastRenderedPageBreak/>
              <w:t>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F0ED9" w:rsidRPr="008D131F" w:rsidRDefault="00AF0ED9" w:rsidP="00AF0ED9">
            <w:pPr>
              <w:spacing w:line="240" w:lineRule="auto"/>
              <w:rPr>
                <w:sz w:val="24"/>
                <w:szCs w:val="24"/>
              </w:rPr>
            </w:pPr>
            <w:r w:rsidRPr="008D131F">
              <w:rPr>
                <w:sz w:val="24"/>
                <w:szCs w:val="24"/>
              </w:rPr>
              <w:t>12.4.   Закупаемая продукция должна быть заводского производства.</w:t>
            </w:r>
          </w:p>
          <w:p w:rsidR="00AF0ED9" w:rsidRPr="008D131F" w:rsidRDefault="00AF0ED9" w:rsidP="00AF0ED9">
            <w:pPr>
              <w:spacing w:line="240" w:lineRule="auto"/>
              <w:rPr>
                <w:i/>
                <w:sz w:val="24"/>
                <w:szCs w:val="24"/>
              </w:rPr>
            </w:pPr>
            <w:r w:rsidRPr="008D131F">
              <w:rPr>
                <w:sz w:val="24"/>
                <w:szCs w:val="24"/>
              </w:rPr>
              <w:t>12.5. Продукция должна иметь разрешение на применение Ростехнадзора (при необходимости). </w:t>
            </w:r>
          </w:p>
          <w:p w:rsidR="00BC5425" w:rsidRPr="00CB6C18" w:rsidRDefault="00BC5425" w:rsidP="00CB6C1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8A0D16" w:rsidRPr="00FE4AEF" w:rsidRDefault="008A0D16" w:rsidP="008A0D16">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8A0D16" w:rsidRPr="00F5764B" w:rsidRDefault="008A0D16" w:rsidP="008A0D16">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в текстовом формате (в формате Word или Excel)</w:t>
            </w:r>
            <w:r w:rsidRPr="00F5764B">
              <w:t>;</w:t>
            </w:r>
          </w:p>
          <w:p w:rsidR="008A0D16" w:rsidRPr="00FE4AEF" w:rsidRDefault="008A0D16" w:rsidP="008A0D16">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8A0D16" w:rsidRPr="004747FE" w:rsidRDefault="008A0D16" w:rsidP="008A0D16">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Скан-копии с Оригиналов документов для аккредитации в базе поставщиков ОАО «Э.ОН Россия» Раздел 2 (Подраздел 2.1)</w:t>
            </w:r>
            <w:r>
              <w:t>.</w:t>
            </w:r>
          </w:p>
          <w:p w:rsidR="003E7391" w:rsidRPr="00716507" w:rsidRDefault="003B1A02" w:rsidP="00CB6C18">
            <w:pPr>
              <w:pStyle w:val="Times12"/>
              <w:tabs>
                <w:tab w:val="left" w:pos="0"/>
                <w:tab w:val="left" w:pos="1140"/>
              </w:tabs>
              <w:spacing w:line="276" w:lineRule="auto"/>
              <w:ind w:right="153" w:firstLine="0"/>
              <w:rPr>
                <w:szCs w:val="24"/>
              </w:rPr>
            </w:pPr>
            <w:bookmarkStart w:id="2" w:name="_GoBack"/>
            <w:bookmarkEnd w:id="2"/>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008A0D16">
              <w:rPr>
                <w:i/>
              </w:rPr>
              <w:t xml:space="preserve">, </w:t>
            </w:r>
            <w:r w:rsidR="008A0D16">
              <w:rPr>
                <w:i/>
                <w:lang w:val="en-US"/>
              </w:rPr>
              <w:t>Word</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DE53C9" w:rsidRDefault="00DE53C9" w:rsidP="00BC5425">
      <w:pPr>
        <w:pStyle w:val="a4"/>
        <w:numPr>
          <w:ilvl w:val="0"/>
          <w:numId w:val="0"/>
        </w:numPr>
        <w:spacing w:line="240" w:lineRule="auto"/>
        <w:ind w:left="1134"/>
        <w:rPr>
          <w:sz w:val="24"/>
          <w:szCs w:val="24"/>
        </w:rPr>
      </w:pPr>
    </w:p>
    <w:p w:rsidR="00DE53C9" w:rsidRDefault="00DE53C9" w:rsidP="00BC5425">
      <w:pPr>
        <w:pStyle w:val="a4"/>
        <w:numPr>
          <w:ilvl w:val="0"/>
          <w:numId w:val="0"/>
        </w:numPr>
        <w:spacing w:line="240" w:lineRule="auto"/>
        <w:ind w:left="1134"/>
        <w:rPr>
          <w:sz w:val="24"/>
          <w:szCs w:val="24"/>
        </w:rPr>
      </w:pPr>
    </w:p>
    <w:p w:rsidR="00DE53C9" w:rsidRDefault="00DE53C9" w:rsidP="00BC5425">
      <w:pPr>
        <w:pStyle w:val="a4"/>
        <w:numPr>
          <w:ilvl w:val="0"/>
          <w:numId w:val="0"/>
        </w:numPr>
        <w:spacing w:line="240" w:lineRule="auto"/>
        <w:ind w:left="1134"/>
        <w:rPr>
          <w:sz w:val="24"/>
          <w:szCs w:val="24"/>
        </w:rPr>
      </w:pPr>
    </w:p>
    <w:p w:rsidR="00DE53C9" w:rsidRDefault="00DE53C9" w:rsidP="00BC5425">
      <w:pPr>
        <w:pStyle w:val="a4"/>
        <w:numPr>
          <w:ilvl w:val="0"/>
          <w:numId w:val="0"/>
        </w:numPr>
        <w:spacing w:line="240" w:lineRule="auto"/>
        <w:ind w:left="1134"/>
        <w:rPr>
          <w:sz w:val="24"/>
          <w:szCs w:val="24"/>
        </w:rPr>
      </w:pPr>
    </w:p>
    <w:p w:rsidR="00DE53C9" w:rsidRDefault="00DE53C9"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DE53C9" w:rsidP="00DE53C9">
      <w:pPr>
        <w:pStyle w:val="a4"/>
        <w:numPr>
          <w:ilvl w:val="0"/>
          <w:numId w:val="0"/>
        </w:numPr>
        <w:spacing w:line="240" w:lineRule="auto"/>
        <w:rPr>
          <w:sz w:val="24"/>
          <w:szCs w:val="24"/>
        </w:rPr>
      </w:pPr>
      <w:r>
        <w:rPr>
          <w:sz w:val="24"/>
          <w:szCs w:val="24"/>
        </w:rPr>
        <w:t xml:space="preserve">                                     </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3A09F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DE53C9" w:rsidRPr="00CC6391">
        <w:rPr>
          <w:color w:val="000000"/>
          <w:sz w:val="24"/>
          <w:szCs w:val="24"/>
        </w:rPr>
        <w:t>График поставки товара  (форма</w:t>
      </w:r>
      <w:r w:rsidR="00DE53C9" w:rsidRPr="00CC6391">
        <w:rPr>
          <w:noProof/>
          <w:color w:val="000000"/>
          <w:sz w:val="24"/>
          <w:szCs w:val="24"/>
        </w:rPr>
        <w:t xml:space="preserve"> </w:t>
      </w:r>
      <w:r w:rsidR="00DE53C9">
        <w:rPr>
          <w:noProof/>
          <w:color w:val="000000"/>
          <w:sz w:val="24"/>
          <w:szCs w:val="24"/>
        </w:rPr>
        <w:t>3</w:t>
      </w:r>
      <w:r w:rsidR="00DE53C9"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53C9" w:rsidRPr="00DE53C9">
        <w:rPr>
          <w:color w:val="000000"/>
          <w:sz w:val="24"/>
          <w:szCs w:val="24"/>
        </w:rPr>
        <w:t>Анкета Участника (форма 5</w:t>
      </w:r>
      <w:r w:rsidR="00DE53C9" w:rsidRPr="00DE53C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53C9" w:rsidRPr="00DE53C9">
        <w:rPr>
          <w:color w:val="000000"/>
          <w:sz w:val="24"/>
          <w:szCs w:val="24"/>
        </w:rPr>
        <w:t>Справка о перечне и годовых объемах выполнения аналогичных договоров (форма 6</w:t>
      </w:r>
      <w:r w:rsidR="00DE53C9" w:rsidRPr="00DE53C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53C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53C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391" w:rsidRDefault="00263391">
      <w:r>
        <w:separator/>
      </w:r>
    </w:p>
  </w:endnote>
  <w:endnote w:type="continuationSeparator" w:id="0">
    <w:p w:rsidR="00263391" w:rsidRDefault="0026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27211" w:rsidRDefault="00627211">
        <w:pPr>
          <w:pStyle w:val="af0"/>
          <w:jc w:val="right"/>
        </w:pPr>
        <w:r>
          <w:fldChar w:fldCharType="begin"/>
        </w:r>
        <w:r>
          <w:instrText xml:space="preserve"> PAGE   \* MERGEFORMAT </w:instrText>
        </w:r>
        <w:r>
          <w:fldChar w:fldCharType="separate"/>
        </w:r>
        <w:r w:rsidR="008A0D16">
          <w:rPr>
            <w:noProof/>
          </w:rPr>
          <w:t>5</w:t>
        </w:r>
        <w:r>
          <w:rPr>
            <w:noProof/>
          </w:rPr>
          <w:fldChar w:fldCharType="end"/>
        </w:r>
      </w:p>
    </w:sdtContent>
  </w:sdt>
  <w:p w:rsidR="00627211" w:rsidRDefault="006272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391" w:rsidRDefault="00263391">
      <w:r>
        <w:separator/>
      </w:r>
    </w:p>
  </w:footnote>
  <w:footnote w:type="continuationSeparator" w:id="0">
    <w:p w:rsidR="00263391" w:rsidRDefault="00263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211" w:rsidRPr="00F01080" w:rsidRDefault="006272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27F5"/>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1B25"/>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39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9F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5E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0D16"/>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ED9"/>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2D73"/>
    <w:rsid w:val="00DE4F66"/>
    <w:rsid w:val="00DE5176"/>
    <w:rsid w:val="00DE526D"/>
    <w:rsid w:val="00DE53C9"/>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garrekht_i@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garrekht_i@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C5DEA-7F83-471F-AAF2-D1FBE2C5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4920</Words>
  <Characters>28047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2</cp:revision>
  <cp:lastPrinted>2015-10-16T05:17:00Z</cp:lastPrinted>
  <dcterms:created xsi:type="dcterms:W3CDTF">2015-10-16T09:38:00Z</dcterms:created>
  <dcterms:modified xsi:type="dcterms:W3CDTF">2015-10-16T09:38:00Z</dcterms:modified>
</cp:coreProperties>
</file>