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Default="00C35C9B" w:rsidP="00C35C9B">
      <w:pPr>
        <w:jc w:val="right"/>
        <w:rPr>
          <w:b/>
        </w:rPr>
      </w:pPr>
    </w:p>
    <w:p w:rsidR="00C35C9B" w:rsidRDefault="00C35C9B" w:rsidP="00C35C9B">
      <w:pPr>
        <w:pStyle w:val="1"/>
        <w:keepNext w:val="0"/>
        <w:widowControl w:val="0"/>
        <w:jc w:val="center"/>
        <w:rPr>
          <w:rFonts w:ascii="Verdana" w:hAnsi="Verdana"/>
        </w:rPr>
      </w:pPr>
    </w:p>
    <w:p w:rsidR="00C35C9B" w:rsidRPr="00A4182E" w:rsidRDefault="00C35C9B" w:rsidP="00C35C9B">
      <w:pPr>
        <w:pStyle w:val="1"/>
        <w:keepNext w:val="0"/>
        <w:widowControl w:val="0"/>
        <w:jc w:val="center"/>
        <w:rPr>
          <w:rFonts w:ascii="Verdana" w:hAnsi="Verdana"/>
          <w:b w:val="0"/>
        </w:rPr>
      </w:pPr>
      <w:r w:rsidRPr="00A4182E">
        <w:rPr>
          <w:rFonts w:ascii="Verdana" w:hAnsi="Verdana"/>
        </w:rPr>
        <w:t>Соглашение</w:t>
      </w:r>
    </w:p>
    <w:p w:rsidR="00C35C9B" w:rsidRPr="00E80B4A" w:rsidRDefault="005D4632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 xml:space="preserve">о </w:t>
      </w:r>
      <w:r w:rsidR="00C62D9D" w:rsidRPr="00A4182E">
        <w:rPr>
          <w:rFonts w:ascii="Verdana" w:hAnsi="Verdana"/>
        </w:rPr>
        <w:t xml:space="preserve">передаче, </w:t>
      </w:r>
      <w:r w:rsidR="008148BD" w:rsidRPr="00A4182E">
        <w:rPr>
          <w:rFonts w:ascii="Verdana" w:hAnsi="Verdana"/>
        </w:rPr>
        <w:t>неразглашении и охране</w:t>
      </w:r>
      <w:r w:rsidR="00C35C9B" w:rsidRPr="00A4182E">
        <w:rPr>
          <w:rFonts w:ascii="Verdana" w:hAnsi="Verdana"/>
        </w:rPr>
        <w:t xml:space="preserve"> информации, составляющей коммерческую тайну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E80B4A" w:rsidTr="00D50AA3">
        <w:tc>
          <w:tcPr>
            <w:tcW w:w="4928" w:type="dxa"/>
          </w:tcPr>
          <w:p w:rsidR="00C35C9B" w:rsidRPr="00E80B4A" w:rsidRDefault="00C35C9B" w:rsidP="00DB2134">
            <w:pPr>
              <w:widowControl w:val="0"/>
              <w:jc w:val="both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 xml:space="preserve">г. </w:t>
            </w:r>
            <w:r w:rsidR="00DB2134">
              <w:rPr>
                <w:rFonts w:ascii="Verdana" w:hAnsi="Verdana"/>
              </w:rPr>
              <w:t>Москва</w:t>
            </w:r>
          </w:p>
        </w:tc>
        <w:tc>
          <w:tcPr>
            <w:tcW w:w="4928" w:type="dxa"/>
          </w:tcPr>
          <w:p w:rsidR="00C35C9B" w:rsidRPr="00E80B4A" w:rsidRDefault="00C35C9B" w:rsidP="00D50AA3">
            <w:pPr>
              <w:widowControl w:val="0"/>
              <w:jc w:val="right"/>
              <w:rPr>
                <w:rFonts w:ascii="Verdana" w:hAnsi="Verdana"/>
              </w:rPr>
            </w:pPr>
            <w:proofErr w:type="gramStart"/>
            <w:r w:rsidRPr="00E80B4A">
              <w:rPr>
                <w:rFonts w:ascii="Verdana" w:hAnsi="Verdana"/>
              </w:rPr>
              <w:t xml:space="preserve">«  </w:t>
            </w:r>
            <w:proofErr w:type="gramEnd"/>
            <w:r w:rsidRPr="00E80B4A">
              <w:rPr>
                <w:rFonts w:ascii="Verdana" w:hAnsi="Verdana"/>
              </w:rPr>
              <w:t xml:space="preserve">   » __________ 20</w:t>
            </w:r>
            <w:r>
              <w:rPr>
                <w:rFonts w:ascii="Verdana" w:hAnsi="Verdana"/>
              </w:rPr>
              <w:t>1</w:t>
            </w:r>
            <w:r w:rsidRPr="00E80B4A">
              <w:rPr>
                <w:rFonts w:ascii="Verdana" w:hAnsi="Verdana"/>
              </w:rPr>
              <w:t xml:space="preserve"> __ г</w:t>
            </w:r>
            <w:r>
              <w:rPr>
                <w:rFonts w:ascii="Verdana" w:hAnsi="Verdana"/>
              </w:rPr>
              <w:t>ода</w:t>
            </w:r>
          </w:p>
        </w:tc>
      </w:tr>
    </w:tbl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Pr="00E80B4A" w:rsidRDefault="00C95E5A" w:rsidP="008148BD">
      <w:pPr>
        <w:widowControl w:val="0"/>
        <w:shd w:val="clear" w:color="auto" w:fill="FFFFFF"/>
        <w:jc w:val="both"/>
        <w:rPr>
          <w:rFonts w:ascii="Verdana" w:hAnsi="Verdana"/>
        </w:rPr>
      </w:pPr>
      <w:r>
        <w:rPr>
          <w:rFonts w:ascii="Verdana" w:hAnsi="Verdana"/>
        </w:rPr>
        <w:t>Открытое акционерное общество «Э.ОН Россия»</w:t>
      </w:r>
      <w:r w:rsidR="00C35C9B" w:rsidRPr="00E80B4A">
        <w:rPr>
          <w:rFonts w:ascii="Verdana" w:hAnsi="Verdana"/>
        </w:rPr>
        <w:t>, именуемое в дальнейшем «</w:t>
      </w:r>
      <w:r w:rsidR="00CB775D">
        <w:rPr>
          <w:rFonts w:ascii="Verdana" w:hAnsi="Verdana"/>
        </w:rPr>
        <w:t>Сторона-1</w:t>
      </w:r>
      <w:r w:rsidR="00C35C9B" w:rsidRPr="00E80B4A">
        <w:rPr>
          <w:rFonts w:ascii="Verdana" w:hAnsi="Verdana"/>
        </w:rPr>
        <w:t xml:space="preserve">», в лице </w:t>
      </w:r>
      <w:r>
        <w:rPr>
          <w:rFonts w:ascii="Verdana" w:hAnsi="Verdana"/>
        </w:rPr>
        <w:t xml:space="preserve">Генерального директора Широкова Максима Геннадьевича, </w:t>
      </w:r>
      <w:r w:rsidR="00C35C9B" w:rsidRPr="00E80B4A">
        <w:rPr>
          <w:rFonts w:ascii="Verdana" w:hAnsi="Verdana"/>
        </w:rPr>
        <w:t xml:space="preserve">действующего на основании устава, и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</w:t>
      </w:r>
      <w:r w:rsidR="00A323AE">
        <w:rPr>
          <w:rFonts w:ascii="Verdana" w:hAnsi="Verdana"/>
        </w:rPr>
        <w:t>__</w:t>
      </w:r>
      <w:r w:rsidRPr="00E80B4A">
        <w:rPr>
          <w:rFonts w:ascii="Verdana" w:hAnsi="Verdana"/>
        </w:rPr>
        <w:t xml:space="preserve">_____________________ ,  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(полное наименование предприятия, организации)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именуемое в дальнейшем «</w:t>
      </w:r>
      <w:r w:rsidR="00CB775D">
        <w:rPr>
          <w:rFonts w:ascii="Verdana" w:hAnsi="Verdana"/>
        </w:rPr>
        <w:t>Сторона-2</w:t>
      </w:r>
      <w:r w:rsidRPr="00E80B4A">
        <w:rPr>
          <w:rFonts w:ascii="Verdana" w:hAnsi="Verdana"/>
        </w:rPr>
        <w:t xml:space="preserve">», в лице 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____________________________________________________________ ,</w:t>
      </w:r>
    </w:p>
    <w:p w:rsidR="00C35C9B" w:rsidRPr="008148BD" w:rsidRDefault="00C35C9B" w:rsidP="008148BD">
      <w:pPr>
        <w:widowControl w:val="0"/>
        <w:shd w:val="clear" w:color="auto" w:fill="FFFFFF"/>
        <w:jc w:val="center"/>
        <w:rPr>
          <w:rFonts w:ascii="Verdana" w:hAnsi="Verdana"/>
          <w:sz w:val="18"/>
          <w:szCs w:val="18"/>
        </w:rPr>
      </w:pPr>
      <w:r w:rsidRPr="008148BD">
        <w:rPr>
          <w:rFonts w:ascii="Verdana" w:hAnsi="Verdana"/>
          <w:sz w:val="18"/>
          <w:szCs w:val="18"/>
        </w:rPr>
        <w:t>(должность фамилия, имя, отчество руководителя)</w:t>
      </w:r>
    </w:p>
    <w:p w:rsidR="00C35C9B" w:rsidRPr="00E80B4A" w:rsidRDefault="00C35C9B" w:rsidP="008148BD">
      <w:pPr>
        <w:widowControl w:val="0"/>
        <w:shd w:val="clear" w:color="auto" w:fill="FFFFFF"/>
        <w:jc w:val="both"/>
        <w:rPr>
          <w:rFonts w:ascii="Verdana" w:hAnsi="Verdana"/>
        </w:rPr>
      </w:pPr>
      <w:r w:rsidRPr="00E80B4A">
        <w:rPr>
          <w:rFonts w:ascii="Verdana" w:hAnsi="Verdana"/>
        </w:rPr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>
        <w:rPr>
          <w:rFonts w:ascii="Verdana" w:hAnsi="Verdana"/>
        </w:rPr>
        <w:t xml:space="preserve"> о </w:t>
      </w:r>
      <w:r w:rsidR="000748F1" w:rsidRPr="008148BD">
        <w:rPr>
          <w:rFonts w:ascii="Verdana" w:hAnsi="Verdana"/>
        </w:rPr>
        <w:t>передаче</w:t>
      </w:r>
      <w:r w:rsidR="000748F1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</w:t>
      </w:r>
      <w:r w:rsidR="008148BD" w:rsidRPr="008148BD">
        <w:rPr>
          <w:rFonts w:ascii="Verdana" w:hAnsi="Verdana"/>
        </w:rPr>
        <w:t>неразглашении, и охране информации, составляющей коммерческую тайну</w:t>
      </w:r>
      <w:r w:rsidRPr="00E80B4A">
        <w:rPr>
          <w:rFonts w:ascii="Verdana" w:hAnsi="Verdana"/>
        </w:rPr>
        <w:t xml:space="preserve">, </w:t>
      </w:r>
      <w:r w:rsidR="0063680A">
        <w:rPr>
          <w:rFonts w:ascii="Verdana" w:hAnsi="Verdana"/>
        </w:rPr>
        <w:t xml:space="preserve">обладателями </w:t>
      </w:r>
      <w:r w:rsidRPr="00E80B4A">
        <w:rPr>
          <w:rFonts w:ascii="Verdana" w:hAnsi="Verdana"/>
        </w:rPr>
        <w:t>которой являются договаривающиеся Стороны.</w:t>
      </w:r>
    </w:p>
    <w:p w:rsidR="00EE7793" w:rsidRPr="00E80B4A" w:rsidRDefault="00EE7793" w:rsidP="00C35C9B">
      <w:pPr>
        <w:pStyle w:val="a5"/>
        <w:widowControl w:val="0"/>
        <w:spacing w:line="240" w:lineRule="auto"/>
        <w:ind w:right="0" w:firstLine="0"/>
        <w:rPr>
          <w:rFonts w:ascii="Verdana" w:hAnsi="Verdana"/>
          <w:sz w:val="24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1. Предмет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5007C3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Организация взаимного доступа к информационным ресурсам </w:t>
      </w:r>
      <w:r w:rsidRPr="008148BD">
        <w:rPr>
          <w:rFonts w:ascii="Verdana" w:hAnsi="Verdana"/>
        </w:rPr>
        <w:t>договаривающихся сторон</w:t>
      </w:r>
      <w:r w:rsidRPr="00E80B4A">
        <w:rPr>
          <w:rFonts w:ascii="Verdana" w:hAnsi="Verdana"/>
        </w:rPr>
        <w:t xml:space="preserve">, содержащим сведения, составляющие коммерческую тайну, и условия </w:t>
      </w:r>
      <w:r w:rsidR="008148BD">
        <w:rPr>
          <w:rFonts w:ascii="Verdana" w:hAnsi="Verdana"/>
        </w:rPr>
        <w:t>обращения с</w:t>
      </w:r>
      <w:r w:rsidRPr="00E80B4A">
        <w:rPr>
          <w:rFonts w:ascii="Verdana" w:hAnsi="Verdana"/>
        </w:rPr>
        <w:t xml:space="preserve"> информаци</w:t>
      </w:r>
      <w:r w:rsidR="008148BD">
        <w:rPr>
          <w:rFonts w:ascii="Verdana" w:hAnsi="Verdana"/>
        </w:rPr>
        <w:t>ей</w:t>
      </w:r>
      <w:r w:rsidRPr="00E80B4A">
        <w:rPr>
          <w:rFonts w:ascii="Verdana" w:hAnsi="Verdana"/>
        </w:rPr>
        <w:t xml:space="preserve">, </w:t>
      </w:r>
      <w:r w:rsidR="005007C3">
        <w:rPr>
          <w:rFonts w:ascii="Verdana" w:hAnsi="Verdana"/>
        </w:rPr>
        <w:t xml:space="preserve">составляющей коммерческую тайну </w:t>
      </w:r>
      <w:r w:rsidR="005007C3" w:rsidRPr="005007C3">
        <w:rPr>
          <w:rFonts w:ascii="Verdana" w:hAnsi="Verdana"/>
        </w:rPr>
        <w:t>(приложение № 1).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Принятие </w:t>
      </w:r>
      <w:r w:rsidRPr="008148BD">
        <w:rPr>
          <w:rFonts w:ascii="Verdana" w:hAnsi="Verdana"/>
        </w:rPr>
        <w:t>Сторонами</w:t>
      </w:r>
      <w:r w:rsidRPr="00E80B4A">
        <w:rPr>
          <w:rFonts w:ascii="Verdana" w:hAnsi="Verdana"/>
        </w:rPr>
        <w:t xml:space="preserve">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2. Термины и определения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lastRenderedPageBreak/>
        <w:t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>
        <w:rPr>
          <w:rFonts w:ascii="Verdana" w:hAnsi="Verdana"/>
        </w:rPr>
        <w:t xml:space="preserve">настоящему </w:t>
      </w:r>
      <w:r w:rsidR="00FC34D8">
        <w:rPr>
          <w:rFonts w:ascii="Verdana" w:hAnsi="Verdana"/>
        </w:rPr>
        <w:t>Соглашению</w:t>
      </w:r>
      <w:r w:rsidRPr="00E80B4A">
        <w:rPr>
          <w:rFonts w:ascii="Verdana" w:hAnsi="Verdana"/>
        </w:rPr>
        <w:t>.</w:t>
      </w:r>
    </w:p>
    <w:p w:rsidR="004203A0" w:rsidRPr="00E80B4A" w:rsidRDefault="004203A0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П</w:t>
      </w:r>
      <w:r w:rsidRPr="004203A0">
        <w:rPr>
          <w:rFonts w:ascii="Verdana" w:hAnsi="Verdana"/>
        </w:rPr>
        <w:t>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>3. Обеспечение конфиденциальности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Информации, составляющей коммерческую тайну, присваивается гриф «Коммерческая тайна».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 w:rsidRPr="00E80B4A">
        <w:rPr>
          <w:rFonts w:ascii="Verdana" w:hAnsi="Verdana"/>
        </w:rPr>
        <w:t xml:space="preserve">4. Права </w:t>
      </w:r>
      <w:r w:rsidR="00F92504" w:rsidRPr="008B4B4D">
        <w:rPr>
          <w:rFonts w:ascii="Verdana" w:hAnsi="Verdana"/>
        </w:rPr>
        <w:t xml:space="preserve">обладателя </w:t>
      </w:r>
      <w:r w:rsidR="00E918E7" w:rsidRPr="008B4B4D">
        <w:rPr>
          <w:rFonts w:ascii="Verdana" w:hAnsi="Verdana"/>
        </w:rPr>
        <w:t>информации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Без согласования с </w:t>
      </w:r>
      <w:r w:rsidRPr="00BE4CFF">
        <w:rPr>
          <w:rFonts w:ascii="Verdana" w:hAnsi="Verdana"/>
        </w:rPr>
        <w:t>другой Стороной</w:t>
      </w:r>
      <w:r w:rsidRPr="00E80B4A">
        <w:rPr>
          <w:rFonts w:ascii="Verdana" w:hAnsi="Verdana"/>
        </w:rPr>
        <w:t xml:space="preserve">, но с последующим уведомлением устанавливать, изменять и отменять в письменной форме режим </w:t>
      </w:r>
      <w:r w:rsidRPr="00E80B4A">
        <w:rPr>
          <w:rFonts w:ascii="Verdana" w:hAnsi="Verdana"/>
        </w:rPr>
        <w:lastRenderedPageBreak/>
        <w:t>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Требовать от работников </w:t>
      </w:r>
      <w:r w:rsidRPr="00BE4CFF">
        <w:rPr>
          <w:rFonts w:ascii="Verdana" w:hAnsi="Verdana"/>
        </w:rPr>
        <w:t>другой Стороны</w:t>
      </w:r>
      <w:r w:rsidRPr="00E80B4A">
        <w:rPr>
          <w:rFonts w:ascii="Verdana" w:hAnsi="Verdana"/>
        </w:rPr>
        <w:t xml:space="preserve">, получивших доступ к информации, составляющей коммерческую тайну, </w:t>
      </w:r>
      <w:r w:rsidR="00186742">
        <w:rPr>
          <w:rFonts w:ascii="Verdana" w:hAnsi="Verdana"/>
        </w:rPr>
        <w:t xml:space="preserve">в том числе </w:t>
      </w:r>
      <w:r w:rsidR="00621682" w:rsidRPr="00186742">
        <w:rPr>
          <w:rFonts w:ascii="Verdana" w:hAnsi="Verdana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убытков, причиненных в связи с нарушением его прав.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06108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5</w:t>
      </w:r>
      <w:r w:rsidR="00C35C9B" w:rsidRPr="00E80B4A">
        <w:rPr>
          <w:rFonts w:ascii="Verdana" w:hAnsi="Verdana"/>
        </w:rPr>
        <w:t>. Обязанности 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Не разглашать информацию, составляющую коммерческую тайну </w:t>
      </w:r>
      <w:r w:rsidR="002A1163">
        <w:rPr>
          <w:rFonts w:ascii="Verdana" w:hAnsi="Verdana"/>
        </w:rPr>
        <w:t>другой С</w:t>
      </w:r>
      <w:r>
        <w:rPr>
          <w:rFonts w:ascii="Verdana" w:hAnsi="Verdana"/>
        </w:rPr>
        <w:t>тороны.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Ограничивать доступ к информации, составляющей коммерческую тайну</w:t>
      </w:r>
      <w:r w:rsidRPr="00412918">
        <w:rPr>
          <w:rFonts w:ascii="Verdana" w:hAnsi="Verdana"/>
        </w:rPr>
        <w:t xml:space="preserve"> другой Стороны</w:t>
      </w:r>
      <w:r w:rsidRPr="00E80B4A">
        <w:rPr>
          <w:rFonts w:ascii="Verdana" w:hAnsi="Verdana"/>
        </w:rPr>
        <w:t xml:space="preserve">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BE4CFF">
        <w:rPr>
          <w:rFonts w:ascii="Verdana" w:hAnsi="Verdana"/>
        </w:rPr>
        <w:t>Стороны</w:t>
      </w:r>
      <w:r w:rsidRPr="00E80B4A">
        <w:rPr>
          <w:rFonts w:ascii="Verdana" w:hAnsi="Verdana"/>
        </w:rPr>
        <w:t xml:space="preserve">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E80B4A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- исключение </w:t>
      </w:r>
      <w:r w:rsidRPr="007C62F6">
        <w:rPr>
          <w:rFonts w:ascii="Verdana" w:hAnsi="Verdana"/>
        </w:rPr>
        <w:t xml:space="preserve">доступа к информации, составляющей коммерческую тайну, </w:t>
      </w:r>
      <w:r w:rsidRPr="004B1040">
        <w:rPr>
          <w:rFonts w:ascii="Verdana" w:hAnsi="Verdana"/>
        </w:rPr>
        <w:t xml:space="preserve">третьих </w:t>
      </w:r>
      <w:r w:rsidRPr="007C62F6">
        <w:rPr>
          <w:rFonts w:ascii="Verdana" w:hAnsi="Verdana"/>
        </w:rPr>
        <w:t>лиц без согласия</w:t>
      </w:r>
      <w:r w:rsidRPr="00E80B4A">
        <w:rPr>
          <w:rFonts w:ascii="Verdana" w:hAnsi="Verdana"/>
        </w:rPr>
        <w:t xml:space="preserve"> ее</w:t>
      </w:r>
      <w:r w:rsidR="0063680A">
        <w:rPr>
          <w:rFonts w:ascii="Verdana" w:hAnsi="Verdana"/>
        </w:rPr>
        <w:t xml:space="preserve"> обладателя</w:t>
      </w:r>
      <w:r w:rsidRPr="00E80B4A">
        <w:rPr>
          <w:rFonts w:ascii="Verdana" w:hAnsi="Verdana"/>
        </w:rPr>
        <w:t>;</w:t>
      </w:r>
    </w:p>
    <w:p w:rsidR="00EC45B6" w:rsidRDefault="00EC45B6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3461FA">
        <w:rPr>
          <w:rFonts w:ascii="Verdana" w:hAnsi="Verdana"/>
        </w:rPr>
        <w:t>- возможность использования и передачи информации, составляющей коммерческую тайну</w:t>
      </w:r>
      <w:r>
        <w:rPr>
          <w:rFonts w:ascii="Verdana" w:hAnsi="Verdana"/>
        </w:rPr>
        <w:t>,</w:t>
      </w:r>
      <w:r w:rsidRPr="003461FA">
        <w:rPr>
          <w:rFonts w:ascii="Verdana" w:hAnsi="Verdana"/>
        </w:rPr>
        <w:t xml:space="preserve"> без нарушения режима коммерческой тайны</w:t>
      </w:r>
      <w:r w:rsidR="004B3B58">
        <w:rPr>
          <w:rFonts w:ascii="Verdana" w:hAnsi="Verdana"/>
        </w:rPr>
        <w:t>;</w:t>
      </w:r>
    </w:p>
    <w:p w:rsidR="004B3B58" w:rsidRDefault="004B3B58" w:rsidP="00EC45B6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A04DFE">
        <w:rPr>
          <w:rFonts w:ascii="Verdana" w:hAnsi="Verdana"/>
        </w:rPr>
        <w:t xml:space="preserve">исключение </w:t>
      </w:r>
      <w:r w:rsidRPr="000C22BF">
        <w:rPr>
          <w:rFonts w:ascii="Verdana" w:hAnsi="Verdana"/>
        </w:rPr>
        <w:t>переда</w:t>
      </w:r>
      <w:r w:rsidR="00A04DFE">
        <w:rPr>
          <w:rFonts w:ascii="Verdana" w:hAnsi="Verdana"/>
        </w:rPr>
        <w:t>чи</w:t>
      </w:r>
      <w:r w:rsidRPr="000C22BF">
        <w:rPr>
          <w:rFonts w:ascii="Verdana" w:hAnsi="Verdana"/>
        </w:rPr>
        <w:t xml:space="preserve"> информаци</w:t>
      </w:r>
      <w:r w:rsidR="00A04DFE">
        <w:rPr>
          <w:rFonts w:ascii="Verdana" w:hAnsi="Verdana"/>
        </w:rPr>
        <w:t>и</w:t>
      </w:r>
      <w:r w:rsidRPr="000C22BF">
        <w:rPr>
          <w:rFonts w:ascii="Verdana" w:hAnsi="Verdana"/>
        </w:rPr>
        <w:t>, составляющ</w:t>
      </w:r>
      <w:r w:rsidR="00A04DFE">
        <w:rPr>
          <w:rFonts w:ascii="Verdana" w:hAnsi="Verdana"/>
        </w:rPr>
        <w:t>ей</w:t>
      </w:r>
      <w:r w:rsidR="00AA2EB1">
        <w:rPr>
          <w:rFonts w:ascii="Verdana" w:hAnsi="Verdana"/>
        </w:rPr>
        <w:t xml:space="preserve"> коммерческую тайну</w:t>
      </w:r>
      <w:r w:rsidR="003D3DAF">
        <w:rPr>
          <w:rFonts w:ascii="Verdana" w:hAnsi="Verdana"/>
        </w:rPr>
        <w:t xml:space="preserve"> другой стороны</w:t>
      </w:r>
      <w:r w:rsidRPr="000C22BF">
        <w:rPr>
          <w:rFonts w:ascii="Verdana" w:hAnsi="Verdana"/>
        </w:rPr>
        <w:t>, по незащищенным линиям связи</w:t>
      </w:r>
      <w:r>
        <w:rPr>
          <w:rFonts w:ascii="Verdana" w:hAnsi="Verdana"/>
        </w:rPr>
        <w:t xml:space="preserve"> (телефон, факс, отправка сообщений по электронной почте</w:t>
      </w:r>
      <w:r w:rsidR="00AA2EB1">
        <w:rPr>
          <w:rFonts w:ascii="Verdana" w:hAnsi="Verdana"/>
        </w:rPr>
        <w:t>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На документах, предоставляемых </w:t>
      </w:r>
      <w:r w:rsidR="00285C39">
        <w:rPr>
          <w:rFonts w:ascii="Verdana" w:hAnsi="Verdana"/>
        </w:rPr>
        <w:t xml:space="preserve">в соответствии с законодательством </w:t>
      </w:r>
      <w:r w:rsidRPr="00E80B4A">
        <w:rPr>
          <w:rFonts w:ascii="Verdana" w:hAnsi="Verdana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ознакомить под расписку работника, доступ которого к информации, составляющей коммерческую тайну</w:t>
      </w:r>
      <w:r w:rsidR="00A323AE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необходим для выполнения им своих </w:t>
      </w:r>
      <w:r w:rsidRPr="00E80B4A">
        <w:rPr>
          <w:rFonts w:ascii="Verdana" w:hAnsi="Verdana"/>
        </w:rPr>
        <w:lastRenderedPageBreak/>
        <w:t xml:space="preserve">трудовых обязанностей, </w:t>
      </w:r>
      <w:r w:rsidR="00E918E7" w:rsidRPr="008B4B4D">
        <w:rPr>
          <w:rFonts w:ascii="Verdana" w:hAnsi="Verdana"/>
        </w:rPr>
        <w:t xml:space="preserve">с перечнем </w:t>
      </w:r>
      <w:r w:rsidR="000C57BA" w:rsidRPr="008B4B4D">
        <w:rPr>
          <w:rFonts w:ascii="Verdana" w:hAnsi="Verdana"/>
        </w:rPr>
        <w:t xml:space="preserve">полученной по данному соглашению </w:t>
      </w:r>
      <w:r w:rsidR="00E918E7" w:rsidRPr="008B4B4D">
        <w:rPr>
          <w:rFonts w:ascii="Verdana" w:hAnsi="Verdana"/>
        </w:rPr>
        <w:t>информации, составляющей коммерческую тайну, обладателями которой явля</w:t>
      </w:r>
      <w:r w:rsidR="00307B6D">
        <w:rPr>
          <w:rFonts w:ascii="Verdana" w:hAnsi="Verdana"/>
        </w:rPr>
        <w:t>е</w:t>
      </w:r>
      <w:r w:rsidR="00E918E7" w:rsidRPr="008B4B4D">
        <w:rPr>
          <w:rFonts w:ascii="Verdana" w:hAnsi="Verdana"/>
        </w:rPr>
        <w:t>тся</w:t>
      </w:r>
      <w:r w:rsidR="00307B6D">
        <w:rPr>
          <w:rFonts w:ascii="Verdana" w:hAnsi="Verdana"/>
        </w:rPr>
        <w:t xml:space="preserve"> другая Сторона</w:t>
      </w:r>
      <w:r w:rsidRPr="008B4B4D">
        <w:rPr>
          <w:rFonts w:ascii="Verdana" w:hAnsi="Verdana"/>
        </w:rPr>
        <w:t>,</w:t>
      </w:r>
      <w:r w:rsidRPr="00E80B4A">
        <w:rPr>
          <w:rFonts w:ascii="Verdana" w:hAnsi="Verdana"/>
        </w:rPr>
        <w:t xml:space="preserve"> а также с установленным режимом коммерческой тайны и с мерами ответственности за его нарушение;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>
        <w:rPr>
          <w:rFonts w:ascii="Verdana" w:hAnsi="Verdana"/>
        </w:rPr>
        <w:t xml:space="preserve">обладателя </w:t>
      </w:r>
      <w:r w:rsidRPr="00E80B4A">
        <w:rPr>
          <w:rFonts w:ascii="Verdana" w:hAnsi="Verdana"/>
        </w:rPr>
        <w:t>информации.</w:t>
      </w:r>
    </w:p>
    <w:p w:rsidR="00C35C9B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Незамедлительно сообщить </w:t>
      </w:r>
      <w:r w:rsidR="00907183">
        <w:rPr>
          <w:rFonts w:ascii="Verdana" w:hAnsi="Verdana"/>
        </w:rPr>
        <w:t xml:space="preserve">обладателю </w:t>
      </w:r>
      <w:r w:rsidRPr="00E80B4A">
        <w:rPr>
          <w:rFonts w:ascii="Verdana" w:hAnsi="Verdana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Сни</w:t>
      </w:r>
      <w:r w:rsidR="00207E9A">
        <w:rPr>
          <w:rFonts w:ascii="Verdana" w:hAnsi="Verdana"/>
        </w:rPr>
        <w:t>мать только то количество копий с материальных носителей, содержащих коммерческую тайну другой Стороны,</w:t>
      </w:r>
      <w:r>
        <w:rPr>
          <w:rFonts w:ascii="Verdana" w:hAnsi="Verdana"/>
        </w:rPr>
        <w:t xml:space="preserve"> которое обусловлено исполнением своих обязательств. </w:t>
      </w:r>
    </w:p>
    <w:p w:rsidR="00DB55F9" w:rsidRPr="00E80B4A" w:rsidRDefault="00DB55F9" w:rsidP="00DB55F9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По требованию Стороны, передавшей информацию, </w:t>
      </w:r>
      <w:proofErr w:type="gramStart"/>
      <w:r>
        <w:rPr>
          <w:rFonts w:ascii="Verdana" w:hAnsi="Verdana"/>
        </w:rPr>
        <w:t>составляющую  коммерческую</w:t>
      </w:r>
      <w:proofErr w:type="gramEnd"/>
      <w:r>
        <w:rPr>
          <w:rFonts w:ascii="Verdana" w:hAnsi="Verdana"/>
        </w:rPr>
        <w:t xml:space="preserve"> тайну, вернуть ей все материальные носители информации, составляющей коммерческую тайну</w:t>
      </w:r>
      <w:r w:rsidR="003B2A63">
        <w:rPr>
          <w:rFonts w:ascii="Verdana" w:hAnsi="Verdana"/>
        </w:rPr>
        <w:t xml:space="preserve"> этой С</w:t>
      </w:r>
      <w:r w:rsidR="004B72FE">
        <w:rPr>
          <w:rFonts w:ascii="Verdana" w:hAnsi="Verdana"/>
        </w:rPr>
        <w:t xml:space="preserve">тороны, </w:t>
      </w:r>
      <w:r w:rsidR="0014400A">
        <w:rPr>
          <w:rFonts w:ascii="Verdana" w:hAnsi="Verdana"/>
        </w:rPr>
        <w:t xml:space="preserve">а </w:t>
      </w:r>
      <w:r w:rsidR="004B72FE">
        <w:rPr>
          <w:rFonts w:ascii="Verdana" w:hAnsi="Verdana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</w:t>
      </w:r>
      <w:r w:rsidR="004B72FE" w:rsidRPr="004B72FE">
        <w:rPr>
          <w:rFonts w:ascii="Verdana" w:hAnsi="Verdana"/>
        </w:rPr>
        <w:t xml:space="preserve"> </w:t>
      </w:r>
      <w:r w:rsidR="004B72FE">
        <w:rPr>
          <w:rFonts w:ascii="Verdana" w:hAnsi="Verdana"/>
        </w:rPr>
        <w:t>содержащих коммерческую тайну другой Стороны.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6</w:t>
      </w:r>
      <w:r w:rsidR="00C35C9B" w:rsidRPr="00E80B4A">
        <w:rPr>
          <w:rFonts w:ascii="Verdana" w:hAnsi="Verdana"/>
        </w:rPr>
        <w:t xml:space="preserve">. Ответственность </w:t>
      </w:r>
      <w:r w:rsidR="00C35C9B" w:rsidRPr="00412918">
        <w:rPr>
          <w:rFonts w:ascii="Verdana" w:hAnsi="Verdana"/>
        </w:rPr>
        <w:t>сторон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9174C5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В</w:t>
      </w:r>
      <w:r w:rsidR="00D2675E" w:rsidRPr="00E80B4A">
        <w:rPr>
          <w:rFonts w:ascii="Verdana" w:hAnsi="Verdana"/>
        </w:rPr>
        <w:t xml:space="preserve"> случае причинения стороне - </w:t>
      </w:r>
      <w:r w:rsidR="00D2675E">
        <w:rPr>
          <w:rFonts w:ascii="Verdana" w:hAnsi="Verdana"/>
        </w:rPr>
        <w:t xml:space="preserve">обладателю </w:t>
      </w:r>
      <w:r w:rsidR="00D2675E" w:rsidRPr="00E80B4A">
        <w:rPr>
          <w:rFonts w:ascii="Verdana" w:hAnsi="Verdana"/>
        </w:rPr>
        <w:t>информации, содержащей коммерческую тайну, ущерба вследствие невыполнения или ненадлежащего выполнения условий настоящего Соглашения,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Сторона, </w:t>
      </w:r>
      <w:r w:rsidR="00D2675E">
        <w:rPr>
          <w:rFonts w:ascii="Verdana" w:hAnsi="Verdana"/>
        </w:rPr>
        <w:t>допустившая такое нарушение либо не выполнившая свои обязательства по настоящему Соглашению</w:t>
      </w:r>
      <w:r w:rsidR="00A323AE">
        <w:rPr>
          <w:rFonts w:ascii="Verdana" w:hAnsi="Verdana"/>
        </w:rPr>
        <w:t>,</w:t>
      </w:r>
      <w:r w:rsidR="00D2675E">
        <w:rPr>
          <w:rFonts w:ascii="Verdana" w:hAnsi="Verdana"/>
        </w:rPr>
        <w:t xml:space="preserve"> </w:t>
      </w:r>
      <w:r w:rsidR="00C35C9B" w:rsidRPr="00E80B4A">
        <w:rPr>
          <w:rFonts w:ascii="Verdana" w:hAnsi="Verdana"/>
        </w:rPr>
        <w:t xml:space="preserve">возмещает причиненные </w:t>
      </w:r>
      <w:r w:rsidR="00D2675E">
        <w:rPr>
          <w:rFonts w:ascii="Verdana" w:hAnsi="Verdana"/>
        </w:rPr>
        <w:t xml:space="preserve">другой Стороне </w:t>
      </w:r>
      <w:r w:rsidR="00C35C9B" w:rsidRPr="00E80B4A">
        <w:rPr>
          <w:rFonts w:ascii="Verdana" w:hAnsi="Verdana"/>
        </w:rPr>
        <w:t>убытки в соответствии с законодательством Российской Федерации.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7</w:t>
      </w:r>
      <w:r w:rsidR="00C35C9B" w:rsidRPr="00E80B4A">
        <w:rPr>
          <w:rFonts w:ascii="Verdana" w:hAnsi="Verdana"/>
        </w:rPr>
        <w:t>. Срок действия Соглашения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9B2A10">
        <w:rPr>
          <w:rFonts w:ascii="Verdana" w:hAnsi="Verdana"/>
        </w:rPr>
        <w:t xml:space="preserve">Настоящее Соглашение заключается на </w:t>
      </w:r>
      <w:r w:rsidR="009B2A10" w:rsidRPr="009B2A10">
        <w:rPr>
          <w:rFonts w:ascii="Verdana" w:hAnsi="Verdana"/>
        </w:rPr>
        <w:t xml:space="preserve">срок </w:t>
      </w:r>
      <w:r w:rsidR="00547057">
        <w:rPr>
          <w:rFonts w:ascii="Verdana" w:hAnsi="Verdana"/>
        </w:rPr>
        <w:t>3</w:t>
      </w:r>
      <w:r w:rsidR="00C95E5A">
        <w:rPr>
          <w:rFonts w:ascii="Verdana" w:hAnsi="Verdana"/>
        </w:rPr>
        <w:t xml:space="preserve"> год</w:t>
      </w:r>
      <w:r w:rsidR="00547057">
        <w:rPr>
          <w:rFonts w:ascii="Verdana" w:hAnsi="Verdana"/>
        </w:rPr>
        <w:t>а</w:t>
      </w:r>
      <w:bookmarkStart w:id="0" w:name="_GoBack"/>
      <w:bookmarkEnd w:id="0"/>
      <w:r w:rsidR="006103D4">
        <w:rPr>
          <w:rFonts w:ascii="Verdana" w:hAnsi="Verdana"/>
        </w:rPr>
        <w:t xml:space="preserve"> </w:t>
      </w:r>
      <w:r w:rsidRPr="009B2A10">
        <w:rPr>
          <w:rFonts w:ascii="Verdana" w:hAnsi="Verdana"/>
        </w:rPr>
        <w:t xml:space="preserve">и вступает в силу со дня его подписания. </w:t>
      </w:r>
      <w:r w:rsidR="009B2A10" w:rsidRPr="009B2A10" w:rsidDel="009B2A10">
        <w:rPr>
          <w:rFonts w:ascii="Verdana" w:hAnsi="Verdana"/>
        </w:rPr>
        <w:t xml:space="preserve"> </w:t>
      </w:r>
      <w:r w:rsidR="00CB775D" w:rsidRPr="009B2A10">
        <w:rPr>
          <w:rFonts w:ascii="Verdana" w:hAnsi="Verdana"/>
        </w:rPr>
        <w:t>П</w:t>
      </w:r>
      <w:r w:rsidR="007D1134" w:rsidRPr="009B2A10">
        <w:rPr>
          <w:rFonts w:ascii="Verdana" w:hAnsi="Verdana"/>
        </w:rPr>
        <w:t>рекращение</w:t>
      </w:r>
      <w:r w:rsidRPr="00E80B4A">
        <w:rPr>
          <w:rFonts w:ascii="Verdana" w:hAnsi="Verdana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E80B4A" w:rsidRDefault="00C35C9B" w:rsidP="00C35C9B">
      <w:pPr>
        <w:widowControl w:val="0"/>
        <w:shd w:val="clear" w:color="auto" w:fill="FFFFFF"/>
        <w:jc w:val="both"/>
        <w:rPr>
          <w:rFonts w:ascii="Verdana" w:hAnsi="Verdana"/>
        </w:rPr>
      </w:pPr>
    </w:p>
    <w:p w:rsidR="00C35C9B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8</w:t>
      </w:r>
      <w:r w:rsidR="00C35C9B" w:rsidRPr="00E80B4A">
        <w:rPr>
          <w:rFonts w:ascii="Verdana" w:hAnsi="Verdana"/>
        </w:rPr>
        <w:t>. Прочие условия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Требования настоящего Соглашения обязательны для исполнения </w:t>
      </w:r>
      <w:r w:rsidRPr="00E80B4A">
        <w:rPr>
          <w:rFonts w:ascii="Verdana" w:hAnsi="Verdana"/>
        </w:rPr>
        <w:lastRenderedPageBreak/>
        <w:t>Сторонами, их законными представителями и правопреемниками.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 xml:space="preserve">Все споры, разногласия и требования, возникающие из настоящего </w:t>
      </w:r>
      <w:r w:rsidR="00922937">
        <w:rPr>
          <w:rFonts w:ascii="Verdana" w:hAnsi="Verdana"/>
        </w:rPr>
        <w:t>С</w:t>
      </w:r>
      <w:r w:rsidRPr="00E80B4A">
        <w:rPr>
          <w:rFonts w:ascii="Verdana" w:hAnsi="Verdana"/>
        </w:rPr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proofErr w:type="spellStart"/>
      <w:r w:rsidRPr="00E80B4A">
        <w:rPr>
          <w:rFonts w:ascii="Verdana" w:hAnsi="Verdana"/>
        </w:rPr>
        <w:t>г.Москвы</w:t>
      </w:r>
      <w:proofErr w:type="spellEnd"/>
      <w:r w:rsidRPr="00E80B4A">
        <w:rPr>
          <w:rFonts w:ascii="Verdana" w:hAnsi="Verdana"/>
        </w:rPr>
        <w:t>.</w:t>
      </w:r>
    </w:p>
    <w:p w:rsidR="00C35C9B" w:rsidRPr="00E80B4A" w:rsidRDefault="00C35C9B" w:rsidP="00C35C9B">
      <w:pPr>
        <w:widowControl w:val="0"/>
        <w:shd w:val="clear" w:color="auto" w:fill="FFFFFF"/>
        <w:ind w:firstLine="709"/>
        <w:jc w:val="both"/>
        <w:rPr>
          <w:rFonts w:ascii="Verdana" w:hAnsi="Verdana"/>
        </w:rPr>
      </w:pPr>
      <w:r w:rsidRPr="00E80B4A">
        <w:rPr>
          <w:rFonts w:ascii="Verdana" w:hAnsi="Verdana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E80B4A" w:rsidRDefault="00C35C9B" w:rsidP="00C35C9B">
      <w:pPr>
        <w:widowControl w:val="0"/>
        <w:shd w:val="clear" w:color="auto" w:fill="FFFFFF"/>
        <w:jc w:val="center"/>
        <w:rPr>
          <w:rFonts w:ascii="Verdana" w:hAnsi="Verdana"/>
        </w:rPr>
      </w:pPr>
    </w:p>
    <w:p w:rsidR="00C35C9B" w:rsidRPr="00E80B4A" w:rsidRDefault="00832770" w:rsidP="00C35C9B">
      <w:pPr>
        <w:widowControl w:val="0"/>
        <w:shd w:val="clear" w:color="auto" w:fill="FFFFFF"/>
        <w:jc w:val="center"/>
        <w:rPr>
          <w:rFonts w:ascii="Verdana" w:hAnsi="Verdana"/>
        </w:rPr>
      </w:pPr>
      <w:r>
        <w:rPr>
          <w:rFonts w:ascii="Verdana" w:hAnsi="Verdana"/>
        </w:rPr>
        <w:t>9</w:t>
      </w:r>
      <w:r w:rsidR="00C35C9B" w:rsidRPr="00E80B4A">
        <w:rPr>
          <w:rFonts w:ascii="Verdana" w:hAnsi="Verdana"/>
        </w:rPr>
        <w:t>. Реквизиты сторон</w:t>
      </w: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both"/>
        <w:rPr>
          <w:rFonts w:ascii="Verdana" w:hAnsi="Verdana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1C1CCE" w:rsidRPr="007C505E" w:rsidTr="001C1CCE">
        <w:tc>
          <w:tcPr>
            <w:tcW w:w="4928" w:type="dxa"/>
          </w:tcPr>
          <w:p w:rsidR="001C1CCE" w:rsidRPr="001C1CCE" w:rsidRDefault="001C1CCE" w:rsidP="001C1CCE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1C1CCE">
              <w:rPr>
                <w:rFonts w:ascii="Verdana" w:hAnsi="Verdana"/>
              </w:rPr>
              <w:t>Сторона 1</w:t>
            </w:r>
          </w:p>
        </w:tc>
        <w:tc>
          <w:tcPr>
            <w:tcW w:w="4928" w:type="dxa"/>
          </w:tcPr>
          <w:p w:rsidR="001C1CCE" w:rsidRP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1C1CCE">
              <w:rPr>
                <w:rFonts w:ascii="Verdana" w:hAnsi="Verdana"/>
              </w:rPr>
              <w:t>Сторона 2</w:t>
            </w:r>
          </w:p>
        </w:tc>
      </w:tr>
      <w:tr w:rsidR="001C1CCE" w:rsidRPr="00E80B4A" w:rsidTr="00D50AA3">
        <w:tc>
          <w:tcPr>
            <w:tcW w:w="4928" w:type="dxa"/>
          </w:tcPr>
          <w:p w:rsidR="001C1CCE" w:rsidRDefault="001C1CCE" w:rsidP="001C1CCE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</w:p>
          <w:p w:rsidR="001C1CCE" w:rsidRPr="007C505E" w:rsidRDefault="001C1CCE" w:rsidP="001C1CCE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 w:rsidRPr="007C505E">
              <w:rPr>
                <w:rFonts w:ascii="Verdana" w:hAnsi="Verdana"/>
                <w:b/>
                <w:color w:val="000000"/>
                <w:sz w:val="22"/>
                <w:szCs w:val="22"/>
              </w:rPr>
              <w:t>ОАО «Э.ОН Россия»</w:t>
            </w:r>
          </w:p>
          <w:p w:rsidR="001C1CCE" w:rsidRDefault="001C1CCE" w:rsidP="001C1CCE">
            <w:pPr>
              <w:rPr>
                <w:rFonts w:ascii="Verdana" w:hAnsi="Verdana"/>
              </w:rPr>
            </w:pP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Юридический адрес: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Российская Федерация,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Тюменская обл.,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Ханты-Мансийский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АО – Югра, г. Сургут,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 xml:space="preserve">ул. </w:t>
            </w:r>
            <w:proofErr w:type="spellStart"/>
            <w:r w:rsidRPr="00B16411">
              <w:rPr>
                <w:rFonts w:ascii="Verdana" w:hAnsi="Verdana"/>
                <w:sz w:val="22"/>
                <w:szCs w:val="22"/>
              </w:rPr>
              <w:t>Энергостроителей</w:t>
            </w:r>
            <w:proofErr w:type="spellEnd"/>
            <w:r w:rsidRPr="00B16411">
              <w:rPr>
                <w:rFonts w:ascii="Verdana" w:hAnsi="Verdana"/>
                <w:sz w:val="22"/>
                <w:szCs w:val="22"/>
              </w:rPr>
              <w:t>,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 xml:space="preserve">23, </w:t>
            </w:r>
            <w:proofErr w:type="spellStart"/>
            <w:r w:rsidRPr="00B16411">
              <w:rPr>
                <w:rFonts w:ascii="Verdana" w:hAnsi="Verdana"/>
                <w:sz w:val="22"/>
                <w:szCs w:val="22"/>
              </w:rPr>
              <w:t>соор</w:t>
            </w:r>
            <w:proofErr w:type="spellEnd"/>
            <w:r w:rsidRPr="00B16411">
              <w:rPr>
                <w:rFonts w:ascii="Verdana" w:hAnsi="Verdana"/>
                <w:sz w:val="22"/>
                <w:szCs w:val="22"/>
              </w:rPr>
              <w:t>. 34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ОГРН 1058602056985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ИНН 8602067092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КПП 860201001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Банковские реквизиты: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р/с 40702810400000003640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в ГПБ (ОАО)</w:t>
            </w:r>
          </w:p>
          <w:p w:rsidR="00B16411" w:rsidRPr="00B16411" w:rsidRDefault="00B16411" w:rsidP="00B16411">
            <w:pPr>
              <w:rPr>
                <w:rFonts w:ascii="Verdana" w:hAnsi="Verdana"/>
                <w:sz w:val="22"/>
                <w:szCs w:val="22"/>
              </w:rPr>
            </w:pPr>
            <w:r w:rsidRPr="00B16411">
              <w:rPr>
                <w:rFonts w:ascii="Verdana" w:hAnsi="Verdana"/>
                <w:sz w:val="22"/>
                <w:szCs w:val="22"/>
              </w:rPr>
              <w:t>к/с 30101810200000000823</w:t>
            </w:r>
          </w:p>
          <w:p w:rsidR="001C1CCE" w:rsidRPr="00E80B4A" w:rsidRDefault="00B16411" w:rsidP="00B16411">
            <w:pPr>
              <w:widowControl w:val="0"/>
              <w:tabs>
                <w:tab w:val="left" w:pos="6120"/>
              </w:tabs>
              <w:ind w:right="1112"/>
              <w:rPr>
                <w:rFonts w:ascii="Verdana" w:hAnsi="Verdana"/>
              </w:rPr>
            </w:pPr>
            <w:r w:rsidRPr="00B16411">
              <w:rPr>
                <w:rFonts w:ascii="Verdana" w:hAnsi="Verdana"/>
                <w:sz w:val="22"/>
                <w:szCs w:val="22"/>
                <w:lang w:val="en-US"/>
              </w:rPr>
              <w:t>БИК 044525823</w:t>
            </w:r>
          </w:p>
        </w:tc>
        <w:tc>
          <w:tcPr>
            <w:tcW w:w="4928" w:type="dxa"/>
          </w:tcPr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</w:p>
          <w:p w:rsidR="001C1CCE" w:rsidRPr="00E80B4A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Полное наименование договаривающейся стороны, место нахождения,</w:t>
            </w:r>
          </w:p>
          <w:p w:rsidR="001C1CCE" w:rsidRPr="00E80B4A" w:rsidRDefault="001C1CCE" w:rsidP="001C1CCE">
            <w:pPr>
              <w:widowControl w:val="0"/>
              <w:tabs>
                <w:tab w:val="left" w:pos="6120"/>
              </w:tabs>
              <w:ind w:left="292" w:right="142"/>
              <w:rPr>
                <w:rFonts w:ascii="Verdana" w:hAnsi="Verdana"/>
              </w:rPr>
            </w:pPr>
            <w:r w:rsidRPr="00E80B4A">
              <w:rPr>
                <w:rFonts w:ascii="Verdana" w:hAnsi="Verdana"/>
              </w:rPr>
              <w:t>банковские реквизиты</w:t>
            </w:r>
          </w:p>
        </w:tc>
      </w:tr>
    </w:tbl>
    <w:p w:rsidR="00C35C9B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</w:p>
    <w:p w:rsidR="00C35C9B" w:rsidRPr="00E80B4A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Verdana" w:hAnsi="Verdana"/>
        </w:rPr>
      </w:pPr>
      <w:r w:rsidRPr="00E80B4A">
        <w:rPr>
          <w:rFonts w:ascii="Verdana" w:hAnsi="Verdana"/>
        </w:rPr>
        <w:t>1</w:t>
      </w:r>
      <w:r w:rsidR="00832770">
        <w:rPr>
          <w:rFonts w:ascii="Verdana" w:hAnsi="Verdana"/>
        </w:rPr>
        <w:t>0</w:t>
      </w:r>
      <w:r w:rsidRPr="00E80B4A">
        <w:rPr>
          <w:rFonts w:ascii="Verdana" w:hAnsi="Verdana"/>
        </w:rPr>
        <w:t>. Подписи сторон</w:t>
      </w:r>
    </w:p>
    <w:p w:rsidR="00C35C9B" w:rsidRPr="00966B74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1C1CCE" w:rsidRPr="00910980" w:rsidTr="00CD4874">
        <w:tc>
          <w:tcPr>
            <w:tcW w:w="4820" w:type="dxa"/>
          </w:tcPr>
          <w:p w:rsidR="001C1CCE" w:rsidRPr="00910980" w:rsidRDefault="001C1CCE" w:rsidP="00CD4874">
            <w:pPr>
              <w:tabs>
                <w:tab w:val="center" w:pos="4536"/>
                <w:tab w:val="right" w:pos="9072"/>
              </w:tabs>
              <w:jc w:val="both"/>
              <w:rPr>
                <w:rFonts w:ascii="Verdana" w:hAnsi="Verdana"/>
                <w:color w:val="000000"/>
              </w:rPr>
            </w:pPr>
            <w:r w:rsidRPr="00910980">
              <w:rPr>
                <w:rFonts w:ascii="Verdana" w:hAnsi="Verdana" w:cs="Tahoma"/>
                <w:color w:val="000000"/>
                <w:sz w:val="22"/>
                <w:szCs w:val="22"/>
                <w:lang w:eastAsia="en-US"/>
              </w:rPr>
              <w:t>Сторона 1</w:t>
            </w:r>
          </w:p>
        </w:tc>
        <w:tc>
          <w:tcPr>
            <w:tcW w:w="5103" w:type="dxa"/>
          </w:tcPr>
          <w:p w:rsidR="001C1CCE" w:rsidRPr="00910980" w:rsidRDefault="001C1CCE" w:rsidP="00CD4874">
            <w:pPr>
              <w:tabs>
                <w:tab w:val="center" w:pos="4536"/>
                <w:tab w:val="right" w:pos="9072"/>
              </w:tabs>
              <w:jc w:val="both"/>
              <w:rPr>
                <w:rFonts w:ascii="Verdana" w:hAnsi="Verdana"/>
                <w:color w:val="000000"/>
              </w:rPr>
            </w:pPr>
            <w:r w:rsidRPr="00910980">
              <w:rPr>
                <w:rFonts w:ascii="Verdana" w:hAnsi="Verdana" w:cs="Tahoma"/>
                <w:color w:val="000000"/>
                <w:sz w:val="22"/>
                <w:szCs w:val="22"/>
                <w:lang w:eastAsia="en-US"/>
              </w:rPr>
              <w:t>Сторона 2</w:t>
            </w:r>
          </w:p>
        </w:tc>
      </w:tr>
      <w:tr w:rsidR="001C1CCE" w:rsidRPr="007C505E" w:rsidTr="00CD4874">
        <w:tc>
          <w:tcPr>
            <w:tcW w:w="4820" w:type="dxa"/>
          </w:tcPr>
          <w:p w:rsidR="001C1CCE" w:rsidRPr="007C505E" w:rsidRDefault="001C1CCE" w:rsidP="007F46DA">
            <w:pPr>
              <w:ind w:left="-70" w:right="-125"/>
              <w:jc w:val="both"/>
              <w:rPr>
                <w:rFonts w:ascii="Verdana" w:hAnsi="Verdana"/>
                <w:color w:val="000000"/>
              </w:rPr>
            </w:pPr>
            <w:r w:rsidRPr="007C505E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910980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ОАО </w:t>
            </w:r>
            <w:r w:rsidR="001C1CCE"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>«Э.ОН Россия»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910980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Генеральный д</w:t>
            </w:r>
            <w:r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>иректор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b/>
                <w:color w:val="000000"/>
              </w:rPr>
            </w:pPr>
          </w:p>
        </w:tc>
      </w:tr>
      <w:tr w:rsidR="001C1CCE" w:rsidRPr="009C1F11" w:rsidTr="00CD4874">
        <w:tc>
          <w:tcPr>
            <w:tcW w:w="4820" w:type="dxa"/>
          </w:tcPr>
          <w:p w:rsidR="001C1CCE" w:rsidRPr="009C1F11" w:rsidRDefault="001C1CCE" w:rsidP="00910980">
            <w:pPr>
              <w:ind w:left="-70" w:right="-125"/>
              <w:jc w:val="both"/>
              <w:rPr>
                <w:rFonts w:ascii="Verdana" w:hAnsi="Verdana"/>
                <w:b/>
                <w:color w:val="000000"/>
              </w:rPr>
            </w:pPr>
            <w:r w:rsidRPr="009C1F11"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________________ </w:t>
            </w:r>
            <w:proofErr w:type="spellStart"/>
            <w:r w:rsidR="00910980">
              <w:rPr>
                <w:rFonts w:ascii="Verdana" w:hAnsi="Verdana"/>
                <w:b/>
                <w:color w:val="000000"/>
                <w:sz w:val="22"/>
                <w:szCs w:val="22"/>
              </w:rPr>
              <w:t>М.Г.Широков</w:t>
            </w:r>
            <w:proofErr w:type="spellEnd"/>
          </w:p>
        </w:tc>
        <w:tc>
          <w:tcPr>
            <w:tcW w:w="5103" w:type="dxa"/>
          </w:tcPr>
          <w:p w:rsidR="001C1CCE" w:rsidRPr="008E1353" w:rsidRDefault="001C1CCE" w:rsidP="001C1CCE">
            <w:pPr>
              <w:rPr>
                <w:rFonts w:ascii="Verdana" w:hAnsi="Verdana"/>
                <w:b/>
                <w:color w:val="000000"/>
              </w:rPr>
            </w:pPr>
            <w:r w:rsidRPr="008E1353">
              <w:rPr>
                <w:rFonts w:ascii="Verdana" w:hAnsi="Verdana"/>
                <w:b/>
                <w:color w:val="000000"/>
                <w:sz w:val="22"/>
                <w:szCs w:val="22"/>
              </w:rPr>
              <w:t>________________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/____________/</w:t>
            </w:r>
          </w:p>
        </w:tc>
      </w:tr>
      <w:tr w:rsidR="001C1CCE" w:rsidRPr="009C1F11" w:rsidTr="00CD4874">
        <w:tc>
          <w:tcPr>
            <w:tcW w:w="4820" w:type="dxa"/>
          </w:tcPr>
          <w:p w:rsidR="001C1CCE" w:rsidRDefault="001C1CCE" w:rsidP="00CD4874">
            <w:pPr>
              <w:ind w:left="-70" w:right="-125"/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1C1CCE" w:rsidRPr="008E1353" w:rsidRDefault="001C1CCE" w:rsidP="00CD4874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М.П.</w:t>
            </w:r>
          </w:p>
        </w:tc>
      </w:tr>
    </w:tbl>
    <w:p w:rsidR="00DD0347" w:rsidRDefault="00547057"/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B16411" w:rsidRDefault="00B16411" w:rsidP="00CD5677">
      <w:pPr>
        <w:ind w:left="3780" w:firstLine="360"/>
        <w:jc w:val="right"/>
      </w:pPr>
    </w:p>
    <w:p w:rsidR="00B16411" w:rsidRDefault="00B16411" w:rsidP="00CD5677">
      <w:pPr>
        <w:ind w:left="3780" w:firstLine="360"/>
        <w:jc w:val="right"/>
      </w:pPr>
    </w:p>
    <w:p w:rsidR="00B16411" w:rsidRDefault="00B16411" w:rsidP="00CD5677">
      <w:pPr>
        <w:ind w:left="3780" w:firstLine="360"/>
        <w:jc w:val="right"/>
      </w:pPr>
    </w:p>
    <w:p w:rsidR="00B16411" w:rsidRDefault="00B16411" w:rsidP="00CD5677">
      <w:pPr>
        <w:ind w:left="3780" w:firstLine="360"/>
        <w:jc w:val="right"/>
      </w:pPr>
    </w:p>
    <w:p w:rsidR="00CD5677" w:rsidRDefault="00CD5677" w:rsidP="00CD5677">
      <w:pPr>
        <w:ind w:left="3780" w:firstLine="360"/>
        <w:jc w:val="right"/>
      </w:pPr>
    </w:p>
    <w:p w:rsidR="00CD5677" w:rsidRPr="00CD5677" w:rsidRDefault="00CD5677" w:rsidP="00CD5677">
      <w:pPr>
        <w:ind w:left="3780" w:firstLine="360"/>
        <w:jc w:val="right"/>
        <w:rPr>
          <w:rFonts w:ascii="Verdana" w:hAnsi="Verdana"/>
        </w:rPr>
      </w:pPr>
    </w:p>
    <w:p w:rsidR="00CD5677" w:rsidRPr="00CD5677" w:rsidRDefault="00CD5677" w:rsidP="00CD5677">
      <w:pPr>
        <w:ind w:left="378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lastRenderedPageBreak/>
        <w:t>Приложение № 1</w:t>
      </w:r>
    </w:p>
    <w:p w:rsidR="00CD5677" w:rsidRPr="00CD5677" w:rsidRDefault="00CD5677" w:rsidP="00CD5677">
      <w:pPr>
        <w:ind w:left="306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t>к Соглашению о передаче, неразглашении и охране информации, составляющей коммерческую тайну</w:t>
      </w:r>
    </w:p>
    <w:p w:rsidR="00CD5677" w:rsidRPr="00CD5677" w:rsidRDefault="00CD5677" w:rsidP="00CD5677">
      <w:pPr>
        <w:ind w:left="3060" w:firstLine="360"/>
        <w:jc w:val="right"/>
        <w:rPr>
          <w:rFonts w:ascii="Verdana" w:hAnsi="Verdana"/>
        </w:rPr>
      </w:pPr>
      <w:r w:rsidRPr="00CD5677">
        <w:rPr>
          <w:rFonts w:ascii="Verdana" w:hAnsi="Verdana"/>
        </w:rPr>
        <w:t xml:space="preserve">от </w:t>
      </w:r>
      <w:proofErr w:type="gramStart"/>
      <w:r w:rsidRPr="00CD5677">
        <w:rPr>
          <w:rFonts w:ascii="Verdana" w:hAnsi="Verdana"/>
        </w:rPr>
        <w:t>« _</w:t>
      </w:r>
      <w:proofErr w:type="gramEnd"/>
      <w:r w:rsidRPr="00CD5677">
        <w:rPr>
          <w:rFonts w:ascii="Verdana" w:hAnsi="Verdana"/>
        </w:rPr>
        <w:t>___ » _____________ 201 __ г.</w:t>
      </w:r>
    </w:p>
    <w:p w:rsidR="00CD5677" w:rsidRPr="00CD5677" w:rsidRDefault="00CD5677" w:rsidP="00CD5677">
      <w:pPr>
        <w:ind w:firstLine="360"/>
        <w:rPr>
          <w:rFonts w:ascii="Verdana" w:hAnsi="Verdana"/>
        </w:rPr>
      </w:pPr>
    </w:p>
    <w:p w:rsidR="00CD5677" w:rsidRPr="00CD5677" w:rsidRDefault="00CD5677" w:rsidP="00CD5677">
      <w:pPr>
        <w:ind w:firstLine="360"/>
        <w:jc w:val="center"/>
        <w:rPr>
          <w:rFonts w:ascii="Verdana" w:hAnsi="Verdana"/>
          <w:b/>
        </w:rPr>
      </w:pPr>
      <w:r w:rsidRPr="00CD5677">
        <w:rPr>
          <w:rFonts w:ascii="Verdana" w:hAnsi="Verdana"/>
          <w:b/>
        </w:rPr>
        <w:t>ПЕРЕЧЕНЬ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 xml:space="preserve">информации, составляющей коммерческую тайну 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>ОАО «Э.ОН Россия» (далее - Общество)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К коммерческой тайне не относится информация, раскрываемая в соответствии с требованиями нормативно-правовых актов РФ, - с момента ее раскрытия.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организационно-управленческой деятельности.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Информация, касающаяся акционеров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Техническая информация об используемых и разрабатываемых технологиях, являющихся уникальными для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из отчетов/актов, презентаций подразделений внутреннего аудита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Style w:val="itemtext1"/>
          <w:rFonts w:ascii="Verdana" w:hAnsi="Verdana"/>
          <w:sz w:val="24"/>
          <w:szCs w:val="24"/>
        </w:rPr>
      </w:pPr>
      <w:r w:rsidRPr="00CD5677">
        <w:rPr>
          <w:rStyle w:val="itemtext1"/>
          <w:rFonts w:ascii="Verdana" w:hAnsi="Verdana"/>
          <w:sz w:val="24"/>
          <w:szCs w:val="24"/>
        </w:rPr>
        <w:t xml:space="preserve">Информация, содержащаяся в решениях органов управления Общества (генерального директора, правления, совета директоров, общего собрания акционеров), за исключением сведений, обязательность раскрытия которых или </w:t>
      </w:r>
      <w:proofErr w:type="gramStart"/>
      <w:r w:rsidRPr="00CD5677">
        <w:rPr>
          <w:rStyle w:val="itemtext1"/>
          <w:rFonts w:ascii="Verdana" w:hAnsi="Verdana"/>
          <w:sz w:val="24"/>
          <w:szCs w:val="24"/>
        </w:rPr>
        <w:t>недопустимость ограничения доступа</w:t>
      </w:r>
      <w:proofErr w:type="gramEnd"/>
      <w:r w:rsidRPr="00CD5677">
        <w:rPr>
          <w:rStyle w:val="itemtext1"/>
          <w:rFonts w:ascii="Verdana" w:hAnsi="Verdana"/>
          <w:sz w:val="24"/>
          <w:szCs w:val="24"/>
        </w:rPr>
        <w:t xml:space="preserve"> к которым установлена федеральными законами, в </w:t>
      </w:r>
      <w:proofErr w:type="spellStart"/>
      <w:r w:rsidRPr="00CD5677">
        <w:rPr>
          <w:rStyle w:val="itemtext1"/>
          <w:rFonts w:ascii="Verdana" w:hAnsi="Verdana"/>
          <w:sz w:val="24"/>
          <w:szCs w:val="24"/>
        </w:rPr>
        <w:t>т.ч</w:t>
      </w:r>
      <w:proofErr w:type="spellEnd"/>
      <w:r w:rsidRPr="00CD5677">
        <w:rPr>
          <w:rStyle w:val="itemtext1"/>
          <w:rFonts w:ascii="Verdana" w:hAnsi="Verdana"/>
          <w:sz w:val="24"/>
          <w:szCs w:val="24"/>
        </w:rPr>
        <w:t>. для отдельных категорий пользователей.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финансово-экономической деятельности.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финансовой деятельности: финансовом состоянии и финансовых прогнозах Общества, его подразделений и/или его аффилированных компаний, информация о доходах, активах, долгах, ценах, ценообразовании, ценовой политике, объеме закупок или продаж, информация из консолидированной финансовой отчетности Общества (до её официального опубликования, а также опубликования по решению органов управления Общества), информация о бюджетах Общества, его подразделений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из бизнес-планов Общества, его подразделений и/или его аффилированных компаний (до их официального опубликования, а также опубликования по решению органов управления соответственно Общества, его подразделений и/или его аффилированных компаний), в том числе информация о планах получения лицензий, информация об условиях и вариантах участия Общества и/или его аффилированных компаний в объединениях/союзах для осуществления экономических проектов, а также информация о результатах аудита запасов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об операциях с акциями Общества и/или его аффилированных компаний (до официального опубликования, а также опубликования по решению органов управления соответственно Общества и/или его аффилированных компаний).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 договорной работы и взаимоотношений Общества с деловыми партнерами.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Маркетинговая информация, а именно, информация о выходе на новые рынки и планируемых сделках, о деталях уже проводимых или предполагаемых маркетинговых программ или о соглашениях, заключённых Обществом и/или её аффилированными компаниями или от их имени, о прогнозах по объёмам продаж, о формах и методах рекламы или результатах маркетинговых мероприятий.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Информация, содержащаяся в заявках на тендер (до принятия окончательного решения о победителях тендера устроителями тендера), которые организует или в которых участвует Общество и/или его аффилированные компании.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по вопросам, касающимся безопасности.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 xml:space="preserve">Информация об антитеррористической и противодиверсионной защищённости объектов Общества, о состоянии системы противопожарной безопасности, о мерах по предотвращению возникновения чрезвычайных ситуаций. 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порядке и состоянии организации защиты коммерческой тайны Общества и/или его аффилированных компаний.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об организации охраны, пропускном режиме, системе сигнализации на филиалах.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Информация о состоянии и совершенствовании средств защиты информации от несанкционированного доступа.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</w:p>
    <w:p w:rsidR="00CD5677" w:rsidRPr="00CD5677" w:rsidRDefault="00CD5677" w:rsidP="00CD5677">
      <w:pPr>
        <w:numPr>
          <w:ilvl w:val="0"/>
          <w:numId w:val="1"/>
        </w:numPr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Информация о создании и функционировании корпоративных</w:t>
      </w:r>
    </w:p>
    <w:p w:rsidR="00CD5677" w:rsidRPr="00CD5677" w:rsidRDefault="00CD5677" w:rsidP="00CD5677">
      <w:pPr>
        <w:ind w:firstLine="360"/>
        <w:jc w:val="center"/>
        <w:rPr>
          <w:rFonts w:ascii="Verdana" w:hAnsi="Verdana"/>
        </w:rPr>
      </w:pPr>
      <w:r w:rsidRPr="00CD5677">
        <w:rPr>
          <w:rFonts w:ascii="Verdana" w:hAnsi="Verdana"/>
        </w:rPr>
        <w:t>информационных систем.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составе и настройках сетевого оборудования, проектная и эксплуатационная документация по корпоративным телекоммуникационным сетям Общества, содержащие информацию о сетевых адресах узлов связи.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настройках приложений корпоративной информационной системы управления Общества.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proofErr w:type="spellStart"/>
      <w:r w:rsidRPr="00CD5677">
        <w:rPr>
          <w:rFonts w:ascii="Verdana" w:hAnsi="Verdana"/>
        </w:rPr>
        <w:t>Парольно</w:t>
      </w:r>
      <w:proofErr w:type="spellEnd"/>
      <w:r w:rsidRPr="00CD5677">
        <w:rPr>
          <w:rFonts w:ascii="Verdana" w:hAnsi="Verdana"/>
        </w:rPr>
        <w:t>-ключевая информация для доступа к информационным системам.</w:t>
      </w:r>
    </w:p>
    <w:p w:rsidR="00CD5677" w:rsidRPr="00CD5677" w:rsidRDefault="00CD5677" w:rsidP="00CD5677">
      <w:pPr>
        <w:ind w:firstLine="360"/>
        <w:jc w:val="both"/>
        <w:rPr>
          <w:rFonts w:ascii="Verdana" w:hAnsi="Verdana"/>
        </w:rPr>
      </w:pPr>
      <w:r w:rsidRPr="00CD5677">
        <w:rPr>
          <w:rFonts w:ascii="Verdana" w:hAnsi="Verdana"/>
        </w:rPr>
        <w:t>Сводные сведения о настройках средств обеспечения информационной безопасности.</w:t>
      </w:r>
    </w:p>
    <w:p w:rsidR="00CD5677" w:rsidRPr="00CD5677" w:rsidRDefault="00CD5677" w:rsidP="00CD5677">
      <w:pPr>
        <w:rPr>
          <w:rFonts w:ascii="Verdana" w:hAnsi="Verdana"/>
        </w:rPr>
      </w:pPr>
    </w:p>
    <w:p w:rsidR="00CD5677" w:rsidRPr="00CD5677" w:rsidRDefault="00CD5677">
      <w:pPr>
        <w:rPr>
          <w:rFonts w:ascii="Verdana" w:hAnsi="Verdana"/>
        </w:rPr>
      </w:pPr>
    </w:p>
    <w:sectPr w:rsidR="00CD5677" w:rsidRPr="00CD5677" w:rsidSect="006F1C5D">
      <w:footerReference w:type="even" r:id="rId8"/>
      <w:footerReference w:type="default" r:id="rId9"/>
      <w:pgSz w:w="11906" w:h="16838"/>
      <w:pgMar w:top="89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45F" w:rsidRDefault="00CE045F" w:rsidP="004B71CF">
      <w:r>
        <w:separator/>
      </w:r>
    </w:p>
  </w:endnote>
  <w:endnote w:type="continuationSeparator" w:id="0">
    <w:p w:rsidR="00CE045F" w:rsidRDefault="00CE045F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547057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255" w:rsidRDefault="00143195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7057">
      <w:rPr>
        <w:rStyle w:val="a9"/>
        <w:noProof/>
      </w:rPr>
      <w:t>7</w:t>
    </w:r>
    <w:r>
      <w:rPr>
        <w:rStyle w:val="a9"/>
      </w:rPr>
      <w:fldChar w:fldCharType="end"/>
    </w:r>
  </w:p>
  <w:p w:rsidR="004D6255" w:rsidRDefault="00547057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45F" w:rsidRDefault="00CE045F" w:rsidP="004B71CF">
      <w:r>
        <w:separator/>
      </w:r>
    </w:p>
  </w:footnote>
  <w:footnote w:type="continuationSeparator" w:id="0">
    <w:p w:rsidR="00CE045F" w:rsidRDefault="00CE045F" w:rsidP="004B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94C50"/>
    <w:multiLevelType w:val="hybridMultilevel"/>
    <w:tmpl w:val="3000C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86742"/>
    <w:rsid w:val="00191FA3"/>
    <w:rsid w:val="00192160"/>
    <w:rsid w:val="001B2528"/>
    <w:rsid w:val="001C1CCE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7B6D"/>
    <w:rsid w:val="00321DA4"/>
    <w:rsid w:val="00331B6A"/>
    <w:rsid w:val="00335EAA"/>
    <w:rsid w:val="003441AF"/>
    <w:rsid w:val="003461FA"/>
    <w:rsid w:val="003500B4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65F5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007C3"/>
    <w:rsid w:val="00520513"/>
    <w:rsid w:val="00547057"/>
    <w:rsid w:val="00582A2F"/>
    <w:rsid w:val="005A65CE"/>
    <w:rsid w:val="005B5EA3"/>
    <w:rsid w:val="005D2E32"/>
    <w:rsid w:val="005D4632"/>
    <w:rsid w:val="005D5EA1"/>
    <w:rsid w:val="005E5235"/>
    <w:rsid w:val="006103D4"/>
    <w:rsid w:val="00621682"/>
    <w:rsid w:val="0063680A"/>
    <w:rsid w:val="006372B6"/>
    <w:rsid w:val="0064676E"/>
    <w:rsid w:val="00647220"/>
    <w:rsid w:val="00651C70"/>
    <w:rsid w:val="0066422B"/>
    <w:rsid w:val="00676C3C"/>
    <w:rsid w:val="00720146"/>
    <w:rsid w:val="0076060B"/>
    <w:rsid w:val="00763915"/>
    <w:rsid w:val="00777B77"/>
    <w:rsid w:val="00780B78"/>
    <w:rsid w:val="007C62F6"/>
    <w:rsid w:val="007D1134"/>
    <w:rsid w:val="007F46DA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0980"/>
    <w:rsid w:val="009174C5"/>
    <w:rsid w:val="00922937"/>
    <w:rsid w:val="009261B0"/>
    <w:rsid w:val="0095762C"/>
    <w:rsid w:val="009678AE"/>
    <w:rsid w:val="009B2A10"/>
    <w:rsid w:val="009D0FBC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C7C7C"/>
    <w:rsid w:val="00AE1BA9"/>
    <w:rsid w:val="00AF05FF"/>
    <w:rsid w:val="00B0182D"/>
    <w:rsid w:val="00B16411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3674"/>
    <w:rsid w:val="00BE4CFF"/>
    <w:rsid w:val="00C16F0E"/>
    <w:rsid w:val="00C35C9B"/>
    <w:rsid w:val="00C3635A"/>
    <w:rsid w:val="00C51B46"/>
    <w:rsid w:val="00C56835"/>
    <w:rsid w:val="00C62D9D"/>
    <w:rsid w:val="00C95E5A"/>
    <w:rsid w:val="00C96A65"/>
    <w:rsid w:val="00CB775D"/>
    <w:rsid w:val="00CD0731"/>
    <w:rsid w:val="00CD5677"/>
    <w:rsid w:val="00CE045F"/>
    <w:rsid w:val="00CE1594"/>
    <w:rsid w:val="00CE2B77"/>
    <w:rsid w:val="00CF3BB7"/>
    <w:rsid w:val="00D12DB0"/>
    <w:rsid w:val="00D148F5"/>
    <w:rsid w:val="00D2675E"/>
    <w:rsid w:val="00D5051A"/>
    <w:rsid w:val="00D60A2D"/>
    <w:rsid w:val="00DB2134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52A3C"/>
    <w:rsid w:val="00E52A9A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727BF-CC41-41F4-B467-114792E8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itemtext1">
    <w:name w:val="itemtext1"/>
    <w:basedOn w:val="a0"/>
    <w:rsid w:val="00CD5677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5F59-9201-472D-9450-2CE24DE4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2309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litvinov_v</dc:creator>
  <cp:keywords/>
  <dc:description/>
  <cp:lastModifiedBy>Кузьмина Анна Николаевна</cp:lastModifiedBy>
  <cp:revision>14</cp:revision>
  <dcterms:created xsi:type="dcterms:W3CDTF">2011-12-14T08:30:00Z</dcterms:created>
  <dcterms:modified xsi:type="dcterms:W3CDTF">2015-10-27T08:34:00Z</dcterms:modified>
</cp:coreProperties>
</file>