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3458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13458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13458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13458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3A45B0" w:rsidRPr="003A45B0">
        <w:rPr>
          <w:i/>
          <w:sz w:val="24"/>
          <w:szCs w:val="24"/>
        </w:rPr>
        <w:t>192 от 09.11</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D5F61" w:rsidRDefault="00EA7394" w:rsidP="00134585">
            <w:pPr>
              <w:autoSpaceDE w:val="0"/>
              <w:autoSpaceDN w:val="0"/>
              <w:adjustRightInd w:val="0"/>
              <w:spacing w:line="276" w:lineRule="auto"/>
              <w:ind w:right="-72" w:firstLine="0"/>
              <w:jc w:val="left"/>
              <w:rPr>
                <w:bCs/>
                <w:sz w:val="24"/>
                <w:szCs w:val="24"/>
              </w:rPr>
            </w:pPr>
            <w:r w:rsidRPr="003D5F61">
              <w:rPr>
                <w:bCs/>
                <w:sz w:val="24"/>
                <w:szCs w:val="24"/>
              </w:rPr>
              <w:t xml:space="preserve">Поставка </w:t>
            </w:r>
            <w:r w:rsidR="00134585" w:rsidRPr="003D5F61">
              <w:rPr>
                <w:bCs/>
                <w:sz w:val="24"/>
                <w:szCs w:val="24"/>
              </w:rPr>
              <w:t>исполнительных механизмов, пускателей, блоков сигнализации</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134585" w:rsidRPr="003D5F61">
              <w:rPr>
                <w:sz w:val="24"/>
                <w:szCs w:val="24"/>
              </w:rPr>
              <w:fldChar w:fldCharType="begin"/>
            </w:r>
            <w:r w:rsidR="00134585" w:rsidRPr="003D5F61">
              <w:rPr>
                <w:sz w:val="24"/>
                <w:szCs w:val="24"/>
              </w:rPr>
              <w:instrText xml:space="preserve"> HYPERLINK "http://www.eon-russia.ru/purchase/announcement/" </w:instrText>
            </w:r>
            <w:r w:rsidR="00134585" w:rsidRPr="003D5F61">
              <w:rPr>
                <w:sz w:val="24"/>
                <w:szCs w:val="24"/>
              </w:rPr>
              <w:fldChar w:fldCharType="separate"/>
            </w:r>
            <w:r w:rsidRPr="003D5F61">
              <w:rPr>
                <w:rStyle w:val="af2"/>
                <w:sz w:val="24"/>
                <w:szCs w:val="24"/>
                <w:lang w:eastAsia="en-US"/>
              </w:rPr>
              <w:t>http://www.eon-russia.ru/purchase/announcement/</w:t>
            </w:r>
            <w:r w:rsidR="00134585" w:rsidRPr="003D5F61">
              <w:rPr>
                <w:rStyle w:val="af2"/>
                <w:sz w:val="24"/>
                <w:szCs w:val="24"/>
                <w:lang w:eastAsia="en-US"/>
              </w:rPr>
              <w:fldChar w:fldCharType="end"/>
            </w:r>
            <w:r w:rsidRPr="003D5F61">
              <w:rPr>
                <w:sz w:val="24"/>
                <w:szCs w:val="24"/>
                <w:lang w:eastAsia="en-US"/>
              </w:rPr>
              <w:t>)</w:t>
            </w:r>
          </w:p>
          <w:p w:rsidR="00BC5425" w:rsidRPr="003D5F61" w:rsidRDefault="00BC5425" w:rsidP="00F3026D">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ED2529" w:rsidRPr="003D5F61">
              <w:rPr>
                <w:sz w:val="24"/>
                <w:szCs w:val="24"/>
                <w:lang w:eastAsia="en-US"/>
              </w:rPr>
              <w:t>09</w:t>
            </w:r>
            <w:r w:rsidRPr="003D5F61">
              <w:rPr>
                <w:sz w:val="24"/>
                <w:szCs w:val="24"/>
                <w:lang w:eastAsia="en-US"/>
              </w:rPr>
              <w:t>.</w:t>
            </w:r>
            <w:r w:rsidR="00ED2529" w:rsidRPr="003D5F61">
              <w:rPr>
                <w:sz w:val="24"/>
                <w:szCs w:val="24"/>
                <w:lang w:val="en-US" w:eastAsia="en-US"/>
              </w:rPr>
              <w:t>11</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ED2529" w:rsidRPr="003D5F61">
              <w:rPr>
                <w:sz w:val="24"/>
                <w:szCs w:val="24"/>
                <w:lang w:eastAsia="en-US"/>
              </w:rPr>
              <w:t>20</w:t>
            </w:r>
            <w:r w:rsidR="003D5F61" w:rsidRPr="003D5F61">
              <w:rPr>
                <w:sz w:val="24"/>
                <w:szCs w:val="24"/>
                <w:lang w:eastAsia="en-US"/>
              </w:rPr>
              <w:t>.</w:t>
            </w:r>
            <w:r w:rsidR="00ED2529" w:rsidRPr="003D5F61">
              <w:rPr>
                <w:sz w:val="24"/>
                <w:szCs w:val="24"/>
                <w:lang w:eastAsia="en-US"/>
              </w:rPr>
              <w:t>11</w:t>
            </w:r>
            <w:r w:rsidR="000D23C6" w:rsidRPr="003D5F61">
              <w:rPr>
                <w:sz w:val="24"/>
                <w:szCs w:val="24"/>
                <w:lang w:eastAsia="en-US"/>
              </w:rPr>
              <w:t>.</w:t>
            </w:r>
            <w:r w:rsidRPr="003D5F61">
              <w:rPr>
                <w:sz w:val="24"/>
                <w:szCs w:val="24"/>
                <w:lang w:eastAsia="en-US"/>
              </w:rPr>
              <w:t>20</w:t>
            </w:r>
            <w:r w:rsidR="003D5F61" w:rsidRPr="003D5F61">
              <w:rPr>
                <w:sz w:val="24"/>
                <w:szCs w:val="24"/>
                <w:lang w:eastAsia="en-US"/>
              </w:rPr>
              <w:t>15</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ED2529" w:rsidP="003D5F61">
            <w:pPr>
              <w:tabs>
                <w:tab w:val="left" w:pos="0"/>
                <w:tab w:val="left" w:pos="5657"/>
              </w:tabs>
              <w:spacing w:line="276" w:lineRule="auto"/>
              <w:ind w:left="540" w:right="153" w:hanging="540"/>
              <w:jc w:val="left"/>
              <w:rPr>
                <w:i/>
                <w:sz w:val="24"/>
                <w:szCs w:val="24"/>
              </w:rPr>
            </w:pPr>
            <w:r w:rsidRPr="003D5F61">
              <w:rPr>
                <w:sz w:val="24"/>
                <w:szCs w:val="24"/>
                <w:lang w:eastAsia="en-US"/>
              </w:rPr>
              <w:t>Март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t>
              </w:r>
              <w:r w:rsidR="003B1A02" w:rsidRPr="003D5F61">
                <w:rPr>
                  <w:rStyle w:val="af2"/>
                  <w:i/>
                  <w:sz w:val="24"/>
                  <w:szCs w:val="24"/>
                </w:rPr>
                <w:t>w</w:t>
              </w:r>
              <w:r w:rsidR="003B1A02" w:rsidRPr="003D5F61">
                <w:rPr>
                  <w:rStyle w:val="af2"/>
                  <w:i/>
                  <w:sz w:val="24"/>
                  <w:szCs w:val="24"/>
                </w:rPr>
                <w:t>.eon-russia.ru/files/117/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w:t>
              </w:r>
              <w:r w:rsidR="003B1A02" w:rsidRPr="003D5F61">
                <w:rPr>
                  <w:rStyle w:val="af2"/>
                  <w:i/>
                  <w:sz w:val="24"/>
                  <w:szCs w:val="24"/>
                  <w:lang w:eastAsia="en-US"/>
                </w:rPr>
                <w:t>e</w:t>
              </w:r>
              <w:r w:rsidR="003B1A02" w:rsidRPr="003D5F61">
                <w:rPr>
                  <w:rStyle w:val="af2"/>
                  <w:i/>
                  <w:sz w:val="24"/>
                  <w:szCs w:val="24"/>
                  <w:lang w:eastAsia="en-US"/>
                </w:rPr>
                <w:t>/interaction/services/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blPrEx>
          <w:tblCellMar>
            <w:top w:w="0" w:type="dxa"/>
            <w:bottom w:w="0" w:type="dxa"/>
          </w:tblCellMar>
        </w:tblPrEx>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blPrEx>
          <w:tblCellMar>
            <w:top w:w="0" w:type="dxa"/>
            <w:bottom w:w="0" w:type="dxa"/>
          </w:tblCellMar>
        </w:tblPrEx>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blPrEx>
          <w:tblCellMar>
            <w:top w:w="0" w:type="dxa"/>
            <w:bottom w:w="0" w:type="dxa"/>
          </w:tblCellMar>
        </w:tblPrEx>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blPrEx>
          <w:tblCellMar>
            <w:top w:w="0" w:type="dxa"/>
            <w:bottom w:w="0" w:type="dxa"/>
          </w:tblCellMar>
        </w:tblPrEx>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blPrEx>
          <w:tblCellMar>
            <w:top w:w="0" w:type="dxa"/>
            <w:bottom w:w="0" w:type="dxa"/>
          </w:tblCellMar>
        </w:tblPrEx>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blPrEx>
          <w:tblCellMar>
            <w:top w:w="0" w:type="dxa"/>
            <w:bottom w:w="0" w:type="dxa"/>
          </w:tblCellMar>
        </w:tblPrEx>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Pr>
          <w:sz w:val="22"/>
          <w:szCs w:val="22"/>
        </w:rPr>
        <w:t>Март 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ования на поставку исполнительных механизмов, пускателей, блоков сигнализации.</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2C2A9F" w:rsidRDefault="008D243A" w:rsidP="007B5E41">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p w:rsidR="008D243A" w:rsidRDefault="008D243A" w:rsidP="008D243A">
      <w:pPr>
        <w:pStyle w:val="afffa"/>
        <w:ind w:left="-142"/>
        <w:rPr>
          <w:b/>
        </w:rPr>
      </w:pPr>
    </w:p>
    <w:tbl>
      <w:tblPr>
        <w:tblStyle w:val="afff4"/>
        <w:tblW w:w="9922" w:type="dxa"/>
        <w:tblInd w:w="279" w:type="dxa"/>
        <w:tblLayout w:type="fixed"/>
        <w:tblLook w:val="04A0" w:firstRow="1" w:lastRow="0" w:firstColumn="1" w:lastColumn="0" w:noHBand="0" w:noVBand="1"/>
      </w:tblPr>
      <w:tblGrid>
        <w:gridCol w:w="567"/>
        <w:gridCol w:w="5670"/>
        <w:gridCol w:w="1843"/>
        <w:gridCol w:w="1842"/>
      </w:tblGrid>
      <w:tr w:rsidR="003A45B0" w:rsidTr="003A45B0">
        <w:tc>
          <w:tcPr>
            <w:tcW w:w="567" w:type="dxa"/>
          </w:tcPr>
          <w:p w:rsidR="003A45B0" w:rsidRPr="007F2B14" w:rsidRDefault="003A45B0" w:rsidP="008D243A">
            <w:pPr>
              <w:ind w:firstLine="0"/>
              <w:rPr>
                <w:b/>
                <w:sz w:val="24"/>
                <w:szCs w:val="24"/>
              </w:rPr>
            </w:pPr>
            <w:r w:rsidRPr="007F2B14">
              <w:rPr>
                <w:b/>
                <w:sz w:val="24"/>
                <w:szCs w:val="24"/>
              </w:rPr>
              <w:t>№ п/п</w:t>
            </w:r>
          </w:p>
        </w:tc>
        <w:tc>
          <w:tcPr>
            <w:tcW w:w="5670" w:type="dxa"/>
          </w:tcPr>
          <w:p w:rsidR="003A45B0" w:rsidRPr="007F2B14" w:rsidRDefault="003A45B0" w:rsidP="008D243A">
            <w:pPr>
              <w:ind w:firstLine="0"/>
              <w:rPr>
                <w:b/>
                <w:sz w:val="24"/>
                <w:szCs w:val="24"/>
              </w:rPr>
            </w:pPr>
            <w:r w:rsidRPr="007F2B14">
              <w:rPr>
                <w:b/>
                <w:sz w:val="24"/>
                <w:szCs w:val="24"/>
              </w:rPr>
              <w:t>Наименование продукции</w:t>
            </w:r>
          </w:p>
        </w:tc>
        <w:tc>
          <w:tcPr>
            <w:tcW w:w="1843" w:type="dxa"/>
          </w:tcPr>
          <w:p w:rsidR="003A45B0" w:rsidRPr="007F2B14" w:rsidRDefault="003A45B0" w:rsidP="008D243A">
            <w:pPr>
              <w:ind w:hanging="13"/>
              <w:rPr>
                <w:b/>
                <w:sz w:val="24"/>
                <w:szCs w:val="24"/>
              </w:rPr>
            </w:pPr>
            <w:r w:rsidRPr="007F2B14">
              <w:rPr>
                <w:b/>
                <w:sz w:val="24"/>
                <w:szCs w:val="24"/>
              </w:rPr>
              <w:t>Тип, марка</w:t>
            </w:r>
          </w:p>
        </w:tc>
        <w:tc>
          <w:tcPr>
            <w:tcW w:w="1842" w:type="dxa"/>
          </w:tcPr>
          <w:p w:rsidR="003A45B0" w:rsidRPr="007F2B14" w:rsidRDefault="003A45B0" w:rsidP="008D243A">
            <w:pPr>
              <w:ind w:firstLine="0"/>
              <w:rPr>
                <w:b/>
                <w:sz w:val="24"/>
                <w:szCs w:val="24"/>
              </w:rPr>
            </w:pPr>
            <w:r>
              <w:rPr>
                <w:b/>
                <w:sz w:val="24"/>
                <w:szCs w:val="24"/>
              </w:rPr>
              <w:t>ГОСТ, ТУ</w:t>
            </w:r>
          </w:p>
        </w:tc>
      </w:tr>
      <w:tr w:rsidR="003A45B0" w:rsidTr="003A45B0">
        <w:trPr>
          <w:trHeight w:val="784"/>
        </w:trPr>
        <w:tc>
          <w:tcPr>
            <w:tcW w:w="567" w:type="dxa"/>
            <w:vAlign w:val="center"/>
          </w:tcPr>
          <w:p w:rsidR="003A45B0" w:rsidRPr="007F2B14" w:rsidRDefault="003A45B0" w:rsidP="008D243A">
            <w:pPr>
              <w:ind w:firstLine="29"/>
              <w:rPr>
                <w:sz w:val="24"/>
                <w:szCs w:val="24"/>
              </w:rPr>
            </w:pPr>
            <w:r w:rsidRPr="007F2B14">
              <w:rPr>
                <w:sz w:val="24"/>
                <w:szCs w:val="24"/>
              </w:rPr>
              <w:t>1</w:t>
            </w:r>
          </w:p>
        </w:tc>
        <w:tc>
          <w:tcPr>
            <w:tcW w:w="5670" w:type="dxa"/>
          </w:tcPr>
          <w:p w:rsidR="003A45B0" w:rsidRPr="007F2B14" w:rsidRDefault="003A45B0" w:rsidP="008D243A">
            <w:pPr>
              <w:ind w:firstLine="0"/>
              <w:rPr>
                <w:color w:val="000000"/>
                <w:sz w:val="24"/>
                <w:szCs w:val="24"/>
              </w:rPr>
            </w:pPr>
            <w:r w:rsidRPr="007F2B14">
              <w:rPr>
                <w:color w:val="000000"/>
                <w:sz w:val="24"/>
                <w:szCs w:val="24"/>
              </w:rPr>
              <w:t>Блок электропривода задвижек БЭЗ-01 У3 степень защиты IP54 220/380В 25А</w:t>
            </w:r>
          </w:p>
        </w:tc>
        <w:tc>
          <w:tcPr>
            <w:tcW w:w="1843" w:type="dxa"/>
            <w:vAlign w:val="center"/>
          </w:tcPr>
          <w:p w:rsidR="003A45B0" w:rsidRPr="007F2B14" w:rsidRDefault="003A45B0" w:rsidP="008D243A">
            <w:pPr>
              <w:ind w:firstLine="0"/>
              <w:rPr>
                <w:sz w:val="24"/>
                <w:szCs w:val="24"/>
                <w:lang w:val="en-US"/>
              </w:rPr>
            </w:pPr>
            <w:r>
              <w:rPr>
                <w:color w:val="000000"/>
                <w:sz w:val="24"/>
                <w:szCs w:val="24"/>
              </w:rPr>
              <w:t xml:space="preserve">БЭЗ-01 </w:t>
            </w:r>
            <w:r w:rsidRPr="007F2B14">
              <w:rPr>
                <w:color w:val="000000"/>
                <w:sz w:val="24"/>
                <w:szCs w:val="24"/>
              </w:rPr>
              <w:t xml:space="preserve">У3 </w:t>
            </w:r>
            <w:r w:rsidRPr="007F2B14">
              <w:rPr>
                <w:color w:val="000000"/>
                <w:sz w:val="24"/>
                <w:szCs w:val="24"/>
                <w:lang w:val="en-US"/>
              </w:rPr>
              <w:t>IP54</w:t>
            </w:r>
          </w:p>
        </w:tc>
        <w:tc>
          <w:tcPr>
            <w:tcW w:w="1842" w:type="dxa"/>
            <w:vAlign w:val="center"/>
          </w:tcPr>
          <w:p w:rsidR="003A45B0" w:rsidRPr="008D243A" w:rsidRDefault="003A45B0" w:rsidP="008D243A">
            <w:pPr>
              <w:ind w:firstLine="0"/>
              <w:rPr>
                <w:color w:val="000000"/>
                <w:sz w:val="24"/>
                <w:szCs w:val="24"/>
              </w:rPr>
            </w:pPr>
            <w:r w:rsidRPr="007F2B14">
              <w:rPr>
                <w:color w:val="000000"/>
                <w:sz w:val="24"/>
                <w:szCs w:val="24"/>
              </w:rPr>
              <w:t>ТУ95-2851-2002</w:t>
            </w:r>
          </w:p>
        </w:tc>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2</w:t>
            </w:r>
          </w:p>
        </w:tc>
        <w:tc>
          <w:tcPr>
            <w:tcW w:w="5670" w:type="dxa"/>
            <w:vAlign w:val="center"/>
          </w:tcPr>
          <w:p w:rsidR="003A45B0" w:rsidRPr="007F2B14" w:rsidRDefault="003A45B0" w:rsidP="008D243A">
            <w:pPr>
              <w:ind w:firstLine="0"/>
              <w:rPr>
                <w:color w:val="000000"/>
                <w:sz w:val="24"/>
                <w:szCs w:val="24"/>
              </w:rPr>
            </w:pPr>
            <w:r>
              <w:rPr>
                <w:color w:val="000000"/>
                <w:sz w:val="24"/>
                <w:szCs w:val="24"/>
              </w:rPr>
              <w:t xml:space="preserve">Блок датчика БД-10М, </w:t>
            </w:r>
            <w:r w:rsidRPr="007F2B14">
              <w:rPr>
                <w:color w:val="000000"/>
                <w:sz w:val="24"/>
                <w:szCs w:val="24"/>
              </w:rPr>
              <w:t>входной сигнал блока поворот</w:t>
            </w:r>
            <w:r>
              <w:rPr>
                <w:color w:val="000000"/>
                <w:sz w:val="24"/>
                <w:szCs w:val="24"/>
              </w:rPr>
              <w:t xml:space="preserve"> вала блока в диапазоне 0-0,25 </w:t>
            </w:r>
            <w:r w:rsidRPr="007F2B14">
              <w:rPr>
                <w:color w:val="000000"/>
                <w:sz w:val="24"/>
                <w:szCs w:val="24"/>
              </w:rPr>
              <w:t>выходной сигнал блока 4-20мА</w:t>
            </w:r>
          </w:p>
        </w:tc>
        <w:tc>
          <w:tcPr>
            <w:tcW w:w="1843" w:type="dxa"/>
            <w:vAlign w:val="center"/>
          </w:tcPr>
          <w:p w:rsidR="003A45B0" w:rsidRPr="007F2B14" w:rsidRDefault="003A45B0" w:rsidP="008D243A">
            <w:pPr>
              <w:ind w:firstLine="0"/>
              <w:rPr>
                <w:sz w:val="24"/>
                <w:szCs w:val="24"/>
              </w:rPr>
            </w:pPr>
            <w:r w:rsidRPr="007F2B14">
              <w:rPr>
                <w:color w:val="000000"/>
                <w:sz w:val="24"/>
                <w:szCs w:val="24"/>
              </w:rPr>
              <w:t xml:space="preserve">БД-10М  </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bookmarkStart w:id="80" w:name="_GoBack"/>
        <w:bookmarkEnd w:id="80"/>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3</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Блок БД-10 входной сигнал угол поворота вала блока в диапазоне</w:t>
            </w:r>
            <w:r>
              <w:rPr>
                <w:color w:val="000000"/>
                <w:sz w:val="24"/>
                <w:szCs w:val="24"/>
              </w:rPr>
              <w:t xml:space="preserve"> </w:t>
            </w:r>
            <w:r w:rsidRPr="007F2B14">
              <w:rPr>
                <w:color w:val="000000"/>
                <w:sz w:val="24"/>
                <w:szCs w:val="24"/>
              </w:rPr>
              <w:t>(0-90 градуса) или (0-225 градуса) выходной сигнал блока 0-5мА</w:t>
            </w:r>
          </w:p>
        </w:tc>
        <w:tc>
          <w:tcPr>
            <w:tcW w:w="1843" w:type="dxa"/>
            <w:vAlign w:val="center"/>
          </w:tcPr>
          <w:p w:rsidR="003A45B0" w:rsidRPr="007F2B14" w:rsidRDefault="003A45B0" w:rsidP="008D243A">
            <w:pPr>
              <w:ind w:firstLine="0"/>
              <w:rPr>
                <w:sz w:val="24"/>
                <w:szCs w:val="24"/>
              </w:rPr>
            </w:pPr>
            <w:r w:rsidRPr="007F2B14">
              <w:rPr>
                <w:color w:val="000000"/>
                <w:sz w:val="24"/>
                <w:szCs w:val="24"/>
              </w:rPr>
              <w:t>БД-10</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4</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Полумуфта пальчиковая ПМФ-25 механизма исполнительного МЭО</w:t>
            </w:r>
          </w:p>
        </w:tc>
        <w:tc>
          <w:tcPr>
            <w:tcW w:w="1843" w:type="dxa"/>
            <w:vAlign w:val="center"/>
          </w:tcPr>
          <w:p w:rsidR="003A45B0" w:rsidRPr="007F2B14" w:rsidRDefault="003A45B0" w:rsidP="008D243A">
            <w:pPr>
              <w:ind w:firstLine="0"/>
              <w:rPr>
                <w:sz w:val="24"/>
                <w:szCs w:val="24"/>
              </w:rPr>
            </w:pPr>
            <w:r w:rsidRPr="007F2B14">
              <w:rPr>
                <w:color w:val="000000"/>
                <w:sz w:val="24"/>
                <w:szCs w:val="24"/>
              </w:rPr>
              <w:t>ПМФ-25</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5</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Пускатель электромагнитный бесконтактный реверсивный ПБР-3А</w:t>
            </w:r>
          </w:p>
        </w:tc>
        <w:tc>
          <w:tcPr>
            <w:tcW w:w="1843" w:type="dxa"/>
          </w:tcPr>
          <w:p w:rsidR="003A45B0" w:rsidRPr="007F2B14" w:rsidRDefault="003A45B0" w:rsidP="008D243A">
            <w:pPr>
              <w:ind w:firstLine="0"/>
              <w:rPr>
                <w:sz w:val="24"/>
                <w:szCs w:val="24"/>
              </w:rPr>
            </w:pPr>
            <w:r w:rsidRPr="007F2B14">
              <w:rPr>
                <w:color w:val="000000"/>
                <w:sz w:val="24"/>
                <w:szCs w:val="24"/>
              </w:rPr>
              <w:t>ПБР-3А</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6</w:t>
            </w:r>
          </w:p>
        </w:tc>
        <w:tc>
          <w:tcPr>
            <w:tcW w:w="5670" w:type="dxa"/>
            <w:vAlign w:val="center"/>
          </w:tcPr>
          <w:p w:rsidR="003A45B0" w:rsidRPr="007F2B14" w:rsidRDefault="003A45B0" w:rsidP="00117F32">
            <w:pPr>
              <w:ind w:firstLine="0"/>
              <w:rPr>
                <w:color w:val="000000"/>
                <w:sz w:val="24"/>
                <w:szCs w:val="24"/>
              </w:rPr>
            </w:pPr>
            <w:r w:rsidRPr="007F2B14">
              <w:rPr>
                <w:color w:val="000000"/>
                <w:sz w:val="24"/>
                <w:szCs w:val="24"/>
              </w:rPr>
              <w:t xml:space="preserve">Механизм исполнительный электрический однооборотный рычажный МЭО-630/25-0,25У-92К У2 с БСПТ-10М(БП-20) </w:t>
            </w:r>
          </w:p>
        </w:tc>
        <w:tc>
          <w:tcPr>
            <w:tcW w:w="1843" w:type="dxa"/>
          </w:tcPr>
          <w:p w:rsidR="003A45B0" w:rsidRPr="007F2B14" w:rsidRDefault="003A45B0" w:rsidP="008D243A">
            <w:pPr>
              <w:ind w:firstLine="0"/>
              <w:rPr>
                <w:sz w:val="24"/>
                <w:szCs w:val="24"/>
              </w:rPr>
            </w:pPr>
            <w:r w:rsidRPr="007F2B14">
              <w:rPr>
                <w:color w:val="000000"/>
                <w:sz w:val="24"/>
                <w:szCs w:val="24"/>
              </w:rPr>
              <w:t>МЭО-630/25-0,25У-92К У2</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rPr>
            </w:pPr>
            <w:r w:rsidRPr="007F2B14">
              <w:rPr>
                <w:sz w:val="24"/>
                <w:szCs w:val="24"/>
              </w:rPr>
              <w:t>7</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 xml:space="preserve">Механизм исполнительный </w:t>
            </w:r>
            <w:proofErr w:type="spellStart"/>
            <w:r w:rsidRPr="007F2B14">
              <w:rPr>
                <w:color w:val="000000"/>
                <w:sz w:val="24"/>
                <w:szCs w:val="24"/>
              </w:rPr>
              <w:t>прямоходный</w:t>
            </w:r>
            <w:proofErr w:type="spellEnd"/>
            <w:r w:rsidRPr="007F2B14">
              <w:rPr>
                <w:color w:val="000000"/>
                <w:sz w:val="24"/>
                <w:szCs w:val="24"/>
              </w:rPr>
              <w:t xml:space="preserve"> 48 МЭП- 6/80-400-МП</w:t>
            </w:r>
          </w:p>
        </w:tc>
        <w:tc>
          <w:tcPr>
            <w:tcW w:w="1843" w:type="dxa"/>
            <w:vAlign w:val="center"/>
          </w:tcPr>
          <w:p w:rsidR="003A45B0" w:rsidRPr="007F2B14" w:rsidRDefault="003A45B0" w:rsidP="008D243A">
            <w:pPr>
              <w:ind w:firstLine="0"/>
              <w:rPr>
                <w:sz w:val="24"/>
                <w:szCs w:val="24"/>
              </w:rPr>
            </w:pPr>
            <w:r w:rsidRPr="007F2B14">
              <w:rPr>
                <w:color w:val="000000"/>
                <w:sz w:val="24"/>
                <w:szCs w:val="24"/>
              </w:rPr>
              <w:t>48 МЭП- 6/80-400-МП</w:t>
            </w:r>
          </w:p>
        </w:tc>
        <w:tc>
          <w:tcPr>
            <w:tcW w:w="1842" w:type="dxa"/>
            <w:vAlign w:val="center"/>
          </w:tcPr>
          <w:p w:rsidR="003A45B0" w:rsidRPr="007F2B14" w:rsidRDefault="003A45B0" w:rsidP="008D243A">
            <w:pPr>
              <w:ind w:firstLine="0"/>
              <w:rPr>
                <w:color w:val="000000"/>
                <w:sz w:val="24"/>
                <w:szCs w:val="24"/>
              </w:rPr>
            </w:pPr>
            <w:r w:rsidRPr="007F2B14">
              <w:rPr>
                <w:color w:val="000000"/>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lang w:val="en-US"/>
              </w:rPr>
            </w:pPr>
            <w:r w:rsidRPr="007F2B14">
              <w:rPr>
                <w:sz w:val="24"/>
                <w:szCs w:val="24"/>
                <w:lang w:val="en-US"/>
              </w:rPr>
              <w:t>8</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Блок питания постоянного тока стационарный БП-10 климатическое исполнение УХЛ4 степень защиты IP20 напряжение питания 220В потребляемая мощность не более10Вт выходной ток 50мА выходное напряжение 48В</w:t>
            </w:r>
          </w:p>
        </w:tc>
        <w:tc>
          <w:tcPr>
            <w:tcW w:w="1843" w:type="dxa"/>
            <w:vAlign w:val="center"/>
          </w:tcPr>
          <w:p w:rsidR="003A45B0" w:rsidRPr="007F2B14" w:rsidRDefault="003A45B0" w:rsidP="008D243A">
            <w:pPr>
              <w:ind w:firstLine="0"/>
              <w:rPr>
                <w:color w:val="000000"/>
                <w:sz w:val="24"/>
                <w:szCs w:val="24"/>
              </w:rPr>
            </w:pPr>
            <w:r w:rsidRPr="007F2B14">
              <w:rPr>
                <w:sz w:val="24"/>
                <w:szCs w:val="24"/>
              </w:rPr>
              <w:t>БП-10 УХЛ4</w:t>
            </w:r>
          </w:p>
        </w:tc>
        <w:tc>
          <w:tcPr>
            <w:tcW w:w="1842" w:type="dxa"/>
            <w:vAlign w:val="center"/>
          </w:tcPr>
          <w:p w:rsidR="003A45B0" w:rsidRPr="007F2B14" w:rsidRDefault="003A45B0" w:rsidP="008D243A">
            <w:pPr>
              <w:ind w:firstLine="0"/>
              <w:rPr>
                <w:sz w:val="24"/>
                <w:szCs w:val="24"/>
              </w:rPr>
            </w:pPr>
            <w:r w:rsidRPr="007F2B14">
              <w:rPr>
                <w:sz w:val="24"/>
                <w:szCs w:val="24"/>
              </w:rPr>
              <w:t>НД Производителя</w:t>
            </w:r>
          </w:p>
        </w:tc>
      </w:tr>
      <w:tr w:rsidR="003A45B0" w:rsidTr="003A45B0">
        <w:tc>
          <w:tcPr>
            <w:tcW w:w="567" w:type="dxa"/>
            <w:vAlign w:val="center"/>
          </w:tcPr>
          <w:p w:rsidR="003A45B0" w:rsidRPr="007F2B14" w:rsidRDefault="003A45B0" w:rsidP="008D243A">
            <w:pPr>
              <w:ind w:firstLine="0"/>
              <w:rPr>
                <w:sz w:val="24"/>
                <w:szCs w:val="24"/>
                <w:lang w:val="en-US"/>
              </w:rPr>
            </w:pPr>
            <w:r w:rsidRPr="007F2B14">
              <w:rPr>
                <w:sz w:val="24"/>
                <w:szCs w:val="24"/>
                <w:lang w:val="en-US"/>
              </w:rPr>
              <w:t>9</w:t>
            </w:r>
          </w:p>
        </w:tc>
        <w:tc>
          <w:tcPr>
            <w:tcW w:w="5670" w:type="dxa"/>
            <w:vAlign w:val="center"/>
          </w:tcPr>
          <w:p w:rsidR="003A45B0" w:rsidRPr="007F2B14" w:rsidRDefault="003A45B0" w:rsidP="008D243A">
            <w:pPr>
              <w:ind w:firstLine="0"/>
              <w:rPr>
                <w:color w:val="000000"/>
                <w:sz w:val="24"/>
                <w:szCs w:val="24"/>
              </w:rPr>
            </w:pPr>
            <w:r w:rsidRPr="007F2B14">
              <w:rPr>
                <w:color w:val="000000"/>
                <w:sz w:val="24"/>
                <w:szCs w:val="24"/>
              </w:rPr>
              <w:t>Блок пи</w:t>
            </w:r>
            <w:r>
              <w:rPr>
                <w:color w:val="000000"/>
                <w:sz w:val="24"/>
                <w:szCs w:val="24"/>
              </w:rPr>
              <w:t xml:space="preserve">тания БП-20 УХЛ4.2 питается от </w:t>
            </w:r>
            <w:r w:rsidRPr="007F2B14">
              <w:rPr>
                <w:color w:val="000000"/>
                <w:sz w:val="24"/>
                <w:szCs w:val="24"/>
              </w:rPr>
              <w:t xml:space="preserve">однофазной сети переменного тока 220В 50Гц потребляемая </w:t>
            </w:r>
            <w:r w:rsidRPr="007F2B14">
              <w:rPr>
                <w:color w:val="000000"/>
                <w:sz w:val="24"/>
                <w:szCs w:val="24"/>
              </w:rPr>
              <w:lastRenderedPageBreak/>
              <w:t>мощность 10Вт напряжение на выходе постоянное 48В ток 30А</w:t>
            </w:r>
          </w:p>
        </w:tc>
        <w:tc>
          <w:tcPr>
            <w:tcW w:w="1843" w:type="dxa"/>
            <w:vAlign w:val="center"/>
          </w:tcPr>
          <w:p w:rsidR="003A45B0" w:rsidRPr="007F2B14" w:rsidRDefault="003A45B0" w:rsidP="008D243A">
            <w:pPr>
              <w:ind w:firstLine="0"/>
              <w:rPr>
                <w:color w:val="000000"/>
                <w:sz w:val="24"/>
                <w:szCs w:val="24"/>
              </w:rPr>
            </w:pPr>
            <w:r w:rsidRPr="007F2B14">
              <w:rPr>
                <w:sz w:val="24"/>
                <w:szCs w:val="24"/>
              </w:rPr>
              <w:lastRenderedPageBreak/>
              <w:t>БП-20 УХЛ4</w:t>
            </w:r>
          </w:p>
        </w:tc>
        <w:tc>
          <w:tcPr>
            <w:tcW w:w="1842" w:type="dxa"/>
            <w:vAlign w:val="center"/>
          </w:tcPr>
          <w:p w:rsidR="003A45B0" w:rsidRPr="007F2B14" w:rsidRDefault="003A45B0" w:rsidP="008D243A">
            <w:pPr>
              <w:ind w:firstLine="0"/>
              <w:rPr>
                <w:sz w:val="24"/>
                <w:szCs w:val="24"/>
              </w:rPr>
            </w:pPr>
          </w:p>
        </w:tc>
      </w:tr>
      <w:tr w:rsidR="003A45B0" w:rsidTr="003A45B0">
        <w:tc>
          <w:tcPr>
            <w:tcW w:w="567" w:type="dxa"/>
            <w:vAlign w:val="center"/>
          </w:tcPr>
          <w:p w:rsidR="003A45B0" w:rsidRPr="007F2B14" w:rsidRDefault="003A45B0" w:rsidP="008D243A">
            <w:pPr>
              <w:ind w:firstLine="0"/>
              <w:rPr>
                <w:sz w:val="24"/>
                <w:szCs w:val="24"/>
                <w:lang w:val="en-US"/>
              </w:rPr>
            </w:pPr>
            <w:r w:rsidRPr="007F2B14">
              <w:rPr>
                <w:sz w:val="24"/>
                <w:szCs w:val="24"/>
                <w:lang w:val="en-US"/>
              </w:rPr>
              <w:lastRenderedPageBreak/>
              <w:t>10</w:t>
            </w:r>
          </w:p>
        </w:tc>
        <w:tc>
          <w:tcPr>
            <w:tcW w:w="5670" w:type="dxa"/>
            <w:vAlign w:val="center"/>
          </w:tcPr>
          <w:p w:rsidR="003A45B0" w:rsidRPr="007F2B14" w:rsidRDefault="003A45B0" w:rsidP="008D243A">
            <w:pPr>
              <w:ind w:firstLine="0"/>
              <w:rPr>
                <w:color w:val="000000"/>
                <w:sz w:val="24"/>
                <w:szCs w:val="24"/>
              </w:rPr>
            </w:pPr>
            <w:r>
              <w:rPr>
                <w:color w:val="000000"/>
                <w:sz w:val="24"/>
                <w:szCs w:val="24"/>
              </w:rPr>
              <w:t>Блок питания БП-20АМ УХЛ4</w:t>
            </w:r>
            <w:r w:rsidRPr="007F2B14">
              <w:rPr>
                <w:color w:val="000000"/>
                <w:sz w:val="24"/>
                <w:szCs w:val="24"/>
              </w:rPr>
              <w:t xml:space="preserve"> для питания БД-10АМ и фильтрации выходного токового сигнала </w:t>
            </w:r>
          </w:p>
        </w:tc>
        <w:tc>
          <w:tcPr>
            <w:tcW w:w="1843" w:type="dxa"/>
            <w:vAlign w:val="center"/>
          </w:tcPr>
          <w:p w:rsidR="003A45B0" w:rsidRPr="007F2B14" w:rsidRDefault="003A45B0" w:rsidP="008D243A">
            <w:pPr>
              <w:ind w:firstLine="0"/>
              <w:rPr>
                <w:color w:val="000000"/>
                <w:sz w:val="24"/>
                <w:szCs w:val="24"/>
              </w:rPr>
            </w:pPr>
            <w:r>
              <w:rPr>
                <w:sz w:val="24"/>
                <w:szCs w:val="24"/>
              </w:rPr>
              <w:t>БП-20АМ УХЛ4</w:t>
            </w:r>
          </w:p>
        </w:tc>
        <w:tc>
          <w:tcPr>
            <w:tcW w:w="1842" w:type="dxa"/>
            <w:vAlign w:val="center"/>
          </w:tcPr>
          <w:p w:rsidR="003A45B0" w:rsidRPr="007F2B14" w:rsidRDefault="003A45B0" w:rsidP="008D243A">
            <w:pPr>
              <w:ind w:firstLine="0"/>
              <w:rPr>
                <w:sz w:val="24"/>
                <w:szCs w:val="24"/>
              </w:rPr>
            </w:pPr>
            <w:r w:rsidRPr="007F2B14">
              <w:rPr>
                <w:sz w:val="24"/>
                <w:szCs w:val="24"/>
              </w:rPr>
              <w:t>НД Производителя</w:t>
            </w:r>
          </w:p>
        </w:tc>
      </w:tr>
    </w:tbl>
    <w:p w:rsidR="008D243A" w:rsidRPr="008D243A" w:rsidRDefault="008D243A" w:rsidP="008D243A">
      <w:pPr>
        <w:pStyle w:val="a5"/>
        <w:numPr>
          <w:ilvl w:val="0"/>
          <w:numId w:val="0"/>
        </w:numPr>
        <w:ind w:left="1134"/>
        <w:rPr>
          <w:b/>
          <w:sz w:val="24"/>
          <w:szCs w:val="24"/>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5154A5" w:rsidRPr="005154A5" w:rsidRDefault="005154A5" w:rsidP="005154A5">
      <w:pPr>
        <w:pStyle w:val="a5"/>
        <w:numPr>
          <w:ilvl w:val="0"/>
          <w:numId w:val="0"/>
        </w:numPr>
        <w:rPr>
          <w:sz w:val="24"/>
          <w:szCs w:val="24"/>
        </w:rPr>
      </w:pPr>
      <w:r>
        <w:rPr>
          <w:sz w:val="24"/>
          <w:szCs w:val="24"/>
        </w:rPr>
        <w:t>Оборудование</w:t>
      </w:r>
      <w:r w:rsidRPr="005154A5">
        <w:rPr>
          <w:sz w:val="24"/>
          <w:szCs w:val="24"/>
        </w:rPr>
        <w:t xml:space="preserve"> должно соответствовать указанным техническим</w:t>
      </w:r>
      <w:r>
        <w:rPr>
          <w:sz w:val="24"/>
          <w:szCs w:val="24"/>
        </w:rPr>
        <w:t xml:space="preserve"> </w:t>
      </w:r>
      <w:r w:rsidRPr="005154A5">
        <w:rPr>
          <w:sz w:val="24"/>
          <w:szCs w:val="24"/>
        </w:rPr>
        <w:t>усло</w:t>
      </w:r>
      <w:r>
        <w:rPr>
          <w:sz w:val="24"/>
          <w:szCs w:val="24"/>
        </w:rPr>
        <w:t xml:space="preserve">виям (ТУ) и подтверждаться </w:t>
      </w:r>
      <w:r w:rsidRPr="005154A5">
        <w:rPr>
          <w:sz w:val="24"/>
          <w:szCs w:val="24"/>
        </w:rPr>
        <w:t>паспортом, заверенным ОТК завода-изготовителя</w:t>
      </w:r>
      <w:r w:rsidR="00316B64">
        <w:rPr>
          <w:sz w:val="24"/>
          <w:szCs w:val="24"/>
        </w:rPr>
        <w:t>.</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s>
        <w:spacing w:after="200" w:line="276" w:lineRule="auto"/>
        <w:ind w:left="426" w:hanging="426"/>
        <w:contextualSpacing/>
        <w:jc w:val="both"/>
      </w:pPr>
      <w:r w:rsidRPr="00E5370B">
        <w:t xml:space="preserve"> 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w:t>
      </w:r>
      <w:r w:rsidR="002B4431">
        <w:t>.</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127ADF" w:rsidP="00EB69C9">
      <w:pPr>
        <w:rPr>
          <w:sz w:val="24"/>
          <w:szCs w:val="24"/>
        </w:rPr>
      </w:pPr>
      <w:r w:rsidRPr="00E5370B">
        <w:rPr>
          <w:sz w:val="24"/>
          <w:szCs w:val="24"/>
        </w:rPr>
        <w:t>Март</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роль поставляемого оборудования.</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обязан поставить надежное и высокоэффективное оборудование, иметь опыт работы с энергетическими предприятиями. </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должен иметь положительный опыт поставки подобного оборудования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Все сопроводительные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 срок поставляемого оборудования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64" w:rsidRDefault="00316B64">
      <w:r>
        <w:separator/>
      </w:r>
    </w:p>
  </w:endnote>
  <w:endnote w:type="continuationSeparator" w:id="0">
    <w:p w:rsidR="00316B64" w:rsidRDefault="003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316B64" w:rsidRDefault="00316B64">
        <w:pPr>
          <w:pStyle w:val="af0"/>
          <w:jc w:val="right"/>
        </w:pPr>
        <w:r>
          <w:fldChar w:fldCharType="begin"/>
        </w:r>
        <w:r>
          <w:instrText xml:space="preserve"> PAGE   \* MERGEFORMAT </w:instrText>
        </w:r>
        <w:r>
          <w:fldChar w:fldCharType="separate"/>
        </w:r>
        <w:r w:rsidR="003A45B0">
          <w:rPr>
            <w:noProof/>
          </w:rPr>
          <w:t>22</w:t>
        </w:r>
        <w:r>
          <w:rPr>
            <w:noProof/>
          </w:rPr>
          <w:fldChar w:fldCharType="end"/>
        </w:r>
      </w:p>
    </w:sdtContent>
  </w:sdt>
  <w:p w:rsidR="00316B64" w:rsidRDefault="00316B6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64" w:rsidRDefault="00316B64">
      <w:r>
        <w:separator/>
      </w:r>
    </w:p>
  </w:footnote>
  <w:footnote w:type="continuationSeparator" w:id="0">
    <w:p w:rsidR="00316B64" w:rsidRDefault="00316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B64" w:rsidRPr="00F01080" w:rsidRDefault="00316B6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D5CF2-1F82-4BB7-ACD2-4809618F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44</Pages>
  <Words>9808</Words>
  <Characters>73094</Characters>
  <Application>Microsoft Office Word</Application>
  <DocSecurity>0</DocSecurity>
  <Lines>609</Lines>
  <Paragraphs>165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82737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7</cp:revision>
  <cp:lastPrinted>2015-08-13T14:45:00Z</cp:lastPrinted>
  <dcterms:created xsi:type="dcterms:W3CDTF">2015-11-06T08:03:00Z</dcterms:created>
  <dcterms:modified xsi:type="dcterms:W3CDTF">2015-11-09T08:06:00Z</dcterms:modified>
</cp:coreProperties>
</file>