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6A7FF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6A7FF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6A7FFD">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6A7FFD">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362B67">
        <w:rPr>
          <w:i/>
          <w:sz w:val="24"/>
          <w:szCs w:val="24"/>
        </w:rPr>
        <w:t>10</w:t>
      </w:r>
      <w:r w:rsidR="00D726A5">
        <w:rPr>
          <w:i/>
          <w:sz w:val="24"/>
          <w:szCs w:val="24"/>
        </w:rPr>
        <w:t>5</w:t>
      </w:r>
      <w:r w:rsidR="00ED52D6" w:rsidRPr="00ED52D6">
        <w:rPr>
          <w:i/>
          <w:sz w:val="24"/>
          <w:szCs w:val="24"/>
        </w:rPr>
        <w:t>/ИМ</w:t>
      </w:r>
      <w:r w:rsidR="00085849" w:rsidRPr="00ED52D6">
        <w:rPr>
          <w:i/>
          <w:sz w:val="24"/>
          <w:szCs w:val="24"/>
        </w:rPr>
        <w:t xml:space="preserve"> от </w:t>
      </w:r>
      <w:r w:rsidR="0031524C">
        <w:rPr>
          <w:i/>
          <w:sz w:val="24"/>
          <w:szCs w:val="24"/>
        </w:rPr>
        <w:t>01</w:t>
      </w:r>
      <w:r w:rsidR="00085849" w:rsidRPr="00ED52D6">
        <w:rPr>
          <w:i/>
          <w:sz w:val="24"/>
          <w:szCs w:val="24"/>
        </w:rPr>
        <w:t>.</w:t>
      </w:r>
      <w:r w:rsidR="0031524C">
        <w:rPr>
          <w:i/>
          <w:sz w:val="24"/>
          <w:szCs w:val="24"/>
        </w:rPr>
        <w:t>12</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D726A5">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D726A5">
              <w:rPr>
                <w:bCs/>
                <w:sz w:val="24"/>
                <w:szCs w:val="24"/>
              </w:rPr>
              <w:t>арматуры</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1524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1524C">
              <w:rPr>
                <w:sz w:val="24"/>
                <w:szCs w:val="24"/>
                <w:lang w:eastAsia="en-US"/>
              </w:rPr>
              <w:t>01</w:t>
            </w:r>
            <w:r w:rsidR="001C5FBC" w:rsidRPr="00ED52D6">
              <w:rPr>
                <w:sz w:val="24"/>
                <w:szCs w:val="24"/>
                <w:lang w:eastAsia="en-US"/>
              </w:rPr>
              <w:t>.</w:t>
            </w:r>
            <w:r w:rsidR="0031524C">
              <w:rPr>
                <w:sz w:val="24"/>
                <w:szCs w:val="24"/>
                <w:lang w:eastAsia="en-US"/>
              </w:rPr>
              <w:t>12</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31524C">
              <w:rPr>
                <w:sz w:val="24"/>
                <w:szCs w:val="24"/>
                <w:lang w:eastAsia="en-US"/>
              </w:rPr>
              <w:t>15</w:t>
            </w:r>
            <w:r w:rsidRPr="00ED52D6">
              <w:rPr>
                <w:sz w:val="24"/>
                <w:szCs w:val="24"/>
                <w:lang w:eastAsia="en-US"/>
              </w:rPr>
              <w:t>.</w:t>
            </w:r>
            <w:r w:rsidR="0031524C">
              <w:rPr>
                <w:sz w:val="24"/>
                <w:szCs w:val="24"/>
                <w:lang w:eastAsia="en-US"/>
              </w:rPr>
              <w:t>12</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362B67" w:rsidRPr="00F3026D" w:rsidRDefault="00BC5425" w:rsidP="00362B67">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362B67" w:rsidP="00F3026D">
            <w:pPr>
              <w:tabs>
                <w:tab w:val="left" w:pos="0"/>
                <w:tab w:val="left" w:pos="5657"/>
              </w:tabs>
              <w:spacing w:line="276" w:lineRule="auto"/>
              <w:ind w:left="540" w:right="153" w:hanging="540"/>
              <w:jc w:val="left"/>
              <w:rPr>
                <w:i/>
                <w:sz w:val="24"/>
                <w:szCs w:val="24"/>
              </w:rPr>
            </w:pPr>
            <w:r>
              <w:rPr>
                <w:i/>
                <w:sz w:val="24"/>
                <w:szCs w:val="24"/>
              </w:rPr>
              <w:t>31.12.2015г.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362B67" w:rsidRDefault="00406535" w:rsidP="000E2B07">
      <w:pPr>
        <w:pStyle w:val="10"/>
        <w:rPr>
          <w:rFonts w:ascii="Times New Roman" w:hAnsi="Times New Roman"/>
          <w:sz w:val="24"/>
          <w:szCs w:val="24"/>
        </w:rPr>
      </w:pPr>
      <w:bookmarkStart w:id="79" w:name="_Toc427744519"/>
      <w:r w:rsidRPr="00362B67">
        <w:rPr>
          <w:rFonts w:ascii="Times New Roman" w:hAnsi="Times New Roman"/>
          <w:sz w:val="24"/>
          <w:szCs w:val="24"/>
        </w:rPr>
        <w:lastRenderedPageBreak/>
        <w:t>Т</w:t>
      </w:r>
      <w:r w:rsidR="00B1053C" w:rsidRPr="00362B67">
        <w:rPr>
          <w:rFonts w:ascii="Times New Roman" w:hAnsi="Times New Roman"/>
          <w:sz w:val="24"/>
          <w:szCs w:val="24"/>
        </w:rPr>
        <w:t>ЕХНИЧЕСКАЯ ЧАСТЬ</w:t>
      </w:r>
      <w:bookmarkEnd w:id="79"/>
      <w:r w:rsidR="00B1053C" w:rsidRPr="00362B67">
        <w:rPr>
          <w:rFonts w:ascii="Times New Roman" w:hAnsi="Times New Roman"/>
          <w:sz w:val="24"/>
          <w:szCs w:val="24"/>
        </w:rPr>
        <w:t xml:space="preserve"> </w:t>
      </w:r>
    </w:p>
    <w:p w:rsidR="00EB69C9" w:rsidRPr="00362B67" w:rsidRDefault="007031B8" w:rsidP="00EB69C9">
      <w:pPr>
        <w:ind w:firstLine="0"/>
        <w:jc w:val="center"/>
        <w:rPr>
          <w:b/>
          <w:sz w:val="24"/>
          <w:szCs w:val="24"/>
        </w:rPr>
      </w:pPr>
      <w:r w:rsidRPr="00362B67">
        <w:rPr>
          <w:sz w:val="24"/>
          <w:szCs w:val="24"/>
        </w:rPr>
        <w:t>Технические требования на поставку</w:t>
      </w:r>
      <w:r w:rsidRPr="00362B67">
        <w:rPr>
          <w:b/>
          <w:sz w:val="24"/>
          <w:szCs w:val="24"/>
        </w:rPr>
        <w:t xml:space="preserve"> </w:t>
      </w:r>
      <w:r w:rsidR="00D726A5">
        <w:rPr>
          <w:bCs/>
          <w:sz w:val="24"/>
          <w:szCs w:val="24"/>
        </w:rPr>
        <w:t>арматуры</w:t>
      </w:r>
      <w:r w:rsidR="00A34AD1" w:rsidRPr="00362B67">
        <w:rPr>
          <w:bCs/>
          <w:sz w:val="24"/>
          <w:szCs w:val="24"/>
        </w:rPr>
        <w:t>.</w:t>
      </w:r>
    </w:p>
    <w:p w:rsidR="007031B8" w:rsidRPr="00362B67" w:rsidRDefault="00EB69C9" w:rsidP="000E2B07">
      <w:pPr>
        <w:pStyle w:val="a5"/>
        <w:rPr>
          <w:b/>
          <w:sz w:val="24"/>
          <w:szCs w:val="24"/>
        </w:rPr>
      </w:pPr>
      <w:r w:rsidRPr="00362B67">
        <w:rPr>
          <w:b/>
          <w:sz w:val="24"/>
          <w:szCs w:val="24"/>
        </w:rPr>
        <w:t xml:space="preserve">Наименование Заказчика - </w:t>
      </w:r>
      <w:r w:rsidR="007031B8" w:rsidRPr="00362B67">
        <w:rPr>
          <w:sz w:val="24"/>
          <w:szCs w:val="24"/>
        </w:rPr>
        <w:t>Филиал «</w:t>
      </w:r>
      <w:r w:rsidR="00A34AD1" w:rsidRPr="00362B67">
        <w:rPr>
          <w:sz w:val="24"/>
          <w:szCs w:val="24"/>
        </w:rPr>
        <w:t>Э.ОН Инжиниринг</w:t>
      </w:r>
      <w:r w:rsidR="007031B8" w:rsidRPr="00362B67">
        <w:rPr>
          <w:sz w:val="24"/>
          <w:szCs w:val="24"/>
        </w:rPr>
        <w:t xml:space="preserve">» </w:t>
      </w:r>
      <w:r w:rsidRPr="00362B67">
        <w:rPr>
          <w:sz w:val="24"/>
          <w:szCs w:val="24"/>
        </w:rPr>
        <w:t>ОАО «Э.ОН Россия»</w:t>
      </w:r>
    </w:p>
    <w:p w:rsidR="00ED52D6" w:rsidRPr="00362B67" w:rsidRDefault="007031B8" w:rsidP="00ED52D6">
      <w:pPr>
        <w:pStyle w:val="a5"/>
        <w:rPr>
          <w:b/>
          <w:sz w:val="24"/>
          <w:szCs w:val="24"/>
        </w:rPr>
      </w:pPr>
      <w:r w:rsidRPr="00362B67">
        <w:rPr>
          <w:b/>
          <w:sz w:val="24"/>
          <w:szCs w:val="24"/>
        </w:rPr>
        <w:t>Технические ха</w:t>
      </w:r>
      <w:r w:rsidR="00EB69C9" w:rsidRPr="00362B67">
        <w:rPr>
          <w:b/>
          <w:sz w:val="24"/>
          <w:szCs w:val="24"/>
        </w:rPr>
        <w:t>рактеристики:</w:t>
      </w:r>
    </w:p>
    <w:p w:rsidR="00ED52D6" w:rsidRPr="00362B67" w:rsidRDefault="00D726A5" w:rsidP="00D726A5">
      <w:pPr>
        <w:pStyle w:val="a5"/>
        <w:numPr>
          <w:ilvl w:val="0"/>
          <w:numId w:val="0"/>
        </w:numPr>
        <w:rPr>
          <w:rFonts w:eastAsiaTheme="minorHAnsi"/>
          <w:snapToGrid/>
          <w:color w:val="000000"/>
          <w:sz w:val="24"/>
          <w:szCs w:val="24"/>
          <w:lang w:eastAsia="en-US"/>
        </w:rPr>
      </w:pPr>
      <w:r>
        <w:rPr>
          <w:rFonts w:eastAsiaTheme="minorHAnsi"/>
          <w:snapToGrid/>
          <w:color w:val="000000"/>
          <w:sz w:val="24"/>
          <w:szCs w:val="24"/>
          <w:lang w:eastAsia="en-US"/>
        </w:rPr>
        <w:t>Затворы дисковые, затворы обратные, задвижки клиновые, регулирующие клапаны, вентили и краны шаровые в соответствии с Приложением №1.</w:t>
      </w:r>
      <w:bookmarkStart w:id="80" w:name="_GoBack"/>
      <w:bookmarkEnd w:id="80"/>
    </w:p>
    <w:p w:rsidR="007031B8" w:rsidRPr="00362B67" w:rsidRDefault="007031B8" w:rsidP="00D35A17">
      <w:pPr>
        <w:pStyle w:val="Default"/>
        <w:rPr>
          <w:vertAlign w:val="superscript"/>
        </w:rPr>
      </w:pPr>
      <w:r w:rsidRPr="00362B67">
        <w:t xml:space="preserve">    </w:t>
      </w:r>
    </w:p>
    <w:p w:rsidR="007031B8" w:rsidRPr="00362B67" w:rsidRDefault="00EB69C9" w:rsidP="000E2B07">
      <w:pPr>
        <w:pStyle w:val="a5"/>
        <w:rPr>
          <w:b/>
          <w:sz w:val="24"/>
          <w:szCs w:val="24"/>
        </w:rPr>
      </w:pPr>
      <w:r w:rsidRPr="00362B67">
        <w:rPr>
          <w:b/>
          <w:sz w:val="24"/>
          <w:szCs w:val="24"/>
        </w:rPr>
        <w:t>Основные технические требования:</w:t>
      </w:r>
      <w:r w:rsidR="007031B8" w:rsidRPr="00362B67">
        <w:rPr>
          <w:b/>
          <w:sz w:val="24"/>
          <w:szCs w:val="24"/>
        </w:rPr>
        <w:t xml:space="preserve">  </w:t>
      </w:r>
    </w:p>
    <w:p w:rsidR="007031B8" w:rsidRPr="00362B67" w:rsidRDefault="00BB7E34" w:rsidP="00D35A17">
      <w:pPr>
        <w:pStyle w:val="Default"/>
      </w:pPr>
      <w:r>
        <w:t>В соответствии с Приложением №1</w:t>
      </w:r>
    </w:p>
    <w:p w:rsidR="007031B8" w:rsidRPr="00362B67" w:rsidRDefault="007031B8" w:rsidP="00D35A17">
      <w:pPr>
        <w:pStyle w:val="Default"/>
      </w:pPr>
    </w:p>
    <w:p w:rsidR="007031B8" w:rsidRPr="00362B67" w:rsidRDefault="007031B8" w:rsidP="00D35A17">
      <w:pPr>
        <w:ind w:firstLine="0"/>
        <w:rPr>
          <w:b/>
          <w:sz w:val="24"/>
          <w:szCs w:val="24"/>
        </w:rPr>
      </w:pPr>
      <w:r w:rsidRPr="00362B67">
        <w:rPr>
          <w:b/>
          <w:sz w:val="24"/>
          <w:szCs w:val="24"/>
        </w:rPr>
        <w:t xml:space="preserve">4. </w:t>
      </w:r>
      <w:r w:rsidR="00EB69C9" w:rsidRPr="00362B67">
        <w:rPr>
          <w:b/>
          <w:sz w:val="24"/>
          <w:szCs w:val="24"/>
        </w:rPr>
        <w:t xml:space="preserve">     </w:t>
      </w:r>
      <w:r w:rsidRPr="00362B67">
        <w:rPr>
          <w:b/>
          <w:sz w:val="24"/>
          <w:szCs w:val="24"/>
        </w:rPr>
        <w:t>Дополнительные требования:</w:t>
      </w:r>
    </w:p>
    <w:p w:rsidR="007031B8" w:rsidRPr="00362B67" w:rsidRDefault="00A34AD1" w:rsidP="00EB69C9">
      <w:pPr>
        <w:pStyle w:val="afffa"/>
        <w:numPr>
          <w:ilvl w:val="0"/>
          <w:numId w:val="66"/>
        </w:numPr>
        <w:tabs>
          <w:tab w:val="left" w:pos="426"/>
          <w:tab w:val="left" w:pos="567"/>
        </w:tabs>
        <w:spacing w:after="200" w:line="276" w:lineRule="auto"/>
        <w:ind w:left="426" w:hanging="426"/>
        <w:contextualSpacing/>
        <w:jc w:val="both"/>
      </w:pPr>
      <w:r w:rsidRPr="00362B67">
        <w:t xml:space="preserve"> Все поставляемая</w:t>
      </w:r>
      <w:r w:rsidR="007031B8" w:rsidRPr="00362B67">
        <w:t xml:space="preserve"> </w:t>
      </w:r>
      <w:r w:rsidRPr="00362B67">
        <w:t>продукция</w:t>
      </w:r>
      <w:r w:rsidR="007031B8" w:rsidRPr="00362B67">
        <w:t xml:space="preserve"> должн</w:t>
      </w:r>
      <w:r w:rsidRPr="00362B67">
        <w:t>а</w:t>
      </w:r>
      <w:r w:rsidR="007031B8" w:rsidRPr="00362B6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362B6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Поставляемая продукция должна быть новой</w:t>
      </w:r>
      <w:r w:rsidR="007031B8" w:rsidRPr="00362B67">
        <w:t>, со сроком изготовления не ранее 2015 г.</w:t>
      </w:r>
    </w:p>
    <w:p w:rsidR="007031B8" w:rsidRPr="00362B6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362B67" w:rsidRDefault="007031B8" w:rsidP="00D35A17">
      <w:pPr>
        <w:ind w:firstLine="0"/>
        <w:rPr>
          <w:b/>
          <w:sz w:val="24"/>
          <w:szCs w:val="24"/>
        </w:rPr>
      </w:pPr>
      <w:r w:rsidRPr="00362B67">
        <w:rPr>
          <w:b/>
          <w:sz w:val="24"/>
          <w:szCs w:val="24"/>
        </w:rPr>
        <w:t xml:space="preserve">5. </w:t>
      </w:r>
      <w:r w:rsidR="00EB69C9" w:rsidRPr="00362B67">
        <w:rPr>
          <w:b/>
          <w:sz w:val="24"/>
          <w:szCs w:val="24"/>
        </w:rPr>
        <w:t xml:space="preserve">     </w:t>
      </w:r>
      <w:r w:rsidRPr="00362B67">
        <w:rPr>
          <w:b/>
          <w:sz w:val="24"/>
          <w:szCs w:val="24"/>
        </w:rPr>
        <w:t>Срок поставки.</w:t>
      </w:r>
    </w:p>
    <w:p w:rsidR="007031B8" w:rsidRPr="00362B67" w:rsidRDefault="00362B67" w:rsidP="00EB69C9">
      <w:pPr>
        <w:rPr>
          <w:sz w:val="24"/>
          <w:szCs w:val="24"/>
        </w:rPr>
      </w:pPr>
      <w:r>
        <w:rPr>
          <w:sz w:val="24"/>
          <w:szCs w:val="24"/>
        </w:rPr>
        <w:t>31</w:t>
      </w:r>
      <w:r w:rsidR="00A34AD1" w:rsidRPr="00362B67">
        <w:rPr>
          <w:sz w:val="24"/>
          <w:szCs w:val="24"/>
        </w:rPr>
        <w:t xml:space="preserve"> </w:t>
      </w:r>
      <w:r>
        <w:rPr>
          <w:sz w:val="24"/>
          <w:szCs w:val="24"/>
        </w:rPr>
        <w:t>декабря</w:t>
      </w:r>
      <w:r w:rsidR="00A34AD1" w:rsidRPr="00362B67">
        <w:rPr>
          <w:sz w:val="24"/>
          <w:szCs w:val="24"/>
        </w:rPr>
        <w:t xml:space="preserve"> 2015</w:t>
      </w:r>
      <w:r w:rsidR="00EB69C9" w:rsidRPr="00362B67">
        <w:rPr>
          <w:sz w:val="24"/>
          <w:szCs w:val="24"/>
        </w:rPr>
        <w:t xml:space="preserve"> </w:t>
      </w:r>
      <w:r w:rsidR="007031B8" w:rsidRPr="00362B67">
        <w:rPr>
          <w:sz w:val="24"/>
          <w:szCs w:val="24"/>
        </w:rPr>
        <w:t>г</w:t>
      </w:r>
      <w:r w:rsidR="00EB69C9" w:rsidRPr="00362B67">
        <w:rPr>
          <w:sz w:val="24"/>
          <w:szCs w:val="24"/>
        </w:rPr>
        <w:t>ода</w:t>
      </w:r>
      <w:r w:rsidR="007031B8" w:rsidRPr="00362B67">
        <w:rPr>
          <w:sz w:val="24"/>
          <w:szCs w:val="24"/>
        </w:rPr>
        <w:t>.</w:t>
      </w:r>
    </w:p>
    <w:p w:rsidR="007031B8" w:rsidRPr="00362B67" w:rsidRDefault="007031B8" w:rsidP="00D35A17">
      <w:pPr>
        <w:ind w:firstLine="0"/>
        <w:rPr>
          <w:b/>
          <w:sz w:val="24"/>
          <w:szCs w:val="24"/>
        </w:rPr>
      </w:pPr>
      <w:r w:rsidRPr="00362B67">
        <w:rPr>
          <w:b/>
          <w:sz w:val="24"/>
          <w:szCs w:val="24"/>
        </w:rPr>
        <w:t xml:space="preserve">6. </w:t>
      </w:r>
      <w:r w:rsidR="00EB69C9" w:rsidRPr="00362B67">
        <w:rPr>
          <w:b/>
          <w:sz w:val="24"/>
          <w:szCs w:val="24"/>
        </w:rPr>
        <w:t xml:space="preserve">     </w:t>
      </w:r>
      <w:r w:rsidRPr="00362B67">
        <w:rPr>
          <w:b/>
          <w:sz w:val="24"/>
          <w:szCs w:val="24"/>
        </w:rPr>
        <w:t xml:space="preserve">Требования к приёмке: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В соответствии с техническими требованиями и сопровождающими документами.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В соответствии с Федеральным Законом РФ № 116-ФЗ от 21.07.97 г «О промышленной безопасности опасных производственных объектов».</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Отсутствие механических повреждений, связанных с нарушением транспортировки;</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После поставки продукции Зак</w:t>
      </w:r>
      <w:r w:rsidR="00A34AD1" w:rsidRPr="00362B67">
        <w:t>азчик проводит входной контроль;</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Полный комплект документов. Поставка в </w:t>
      </w:r>
      <w:proofErr w:type="gramStart"/>
      <w:r w:rsidRPr="00362B67">
        <w:t>соответстви</w:t>
      </w:r>
      <w:r w:rsidR="00A34AD1" w:rsidRPr="00362B67">
        <w:t>и</w:t>
      </w:r>
      <w:proofErr w:type="gramEnd"/>
      <w:r w:rsidR="00A34AD1" w:rsidRPr="00362B67">
        <w:t xml:space="preserve"> с техническими требованиями. </w:t>
      </w:r>
      <w:r w:rsidRPr="00362B67">
        <w:t xml:space="preserve">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Доставка оборудования должна осуществляться до склада заказчика.</w:t>
      </w:r>
    </w:p>
    <w:p w:rsidR="007031B8" w:rsidRPr="00362B67" w:rsidRDefault="007031B8" w:rsidP="00D35A17">
      <w:pPr>
        <w:ind w:firstLine="0"/>
        <w:rPr>
          <w:b/>
          <w:sz w:val="24"/>
          <w:szCs w:val="24"/>
        </w:rPr>
      </w:pPr>
      <w:r w:rsidRPr="00362B67">
        <w:rPr>
          <w:b/>
          <w:sz w:val="24"/>
          <w:szCs w:val="24"/>
        </w:rPr>
        <w:t xml:space="preserve">7. </w:t>
      </w:r>
      <w:r w:rsidR="00EB69C9" w:rsidRPr="00362B67">
        <w:rPr>
          <w:b/>
          <w:sz w:val="24"/>
          <w:szCs w:val="24"/>
        </w:rPr>
        <w:tab/>
      </w:r>
      <w:r w:rsidRPr="00362B67">
        <w:rPr>
          <w:b/>
          <w:sz w:val="24"/>
          <w:szCs w:val="24"/>
        </w:rPr>
        <w:t>Требования  к изготовителю (поставщику).</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являться официальным дилером или изготовителем </w:t>
      </w:r>
      <w:r w:rsidR="00A34AD1" w:rsidRPr="00362B67">
        <w:t>продукции</w:t>
      </w:r>
      <w:r w:rsidRPr="00362B67">
        <w:t>.</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w:t>
      </w:r>
      <w:r w:rsidR="00A34AD1" w:rsidRPr="00362B67">
        <w:t>должен</w:t>
      </w:r>
      <w:r w:rsidRPr="00362B67">
        <w:t xml:space="preserve"> иметь опыт работы с энергетическими предприятиями. </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иметь полож</w:t>
      </w:r>
      <w:r w:rsidR="00A34AD1" w:rsidRPr="00362B67">
        <w:t>ительный опыт поставки подобной продукции</w:t>
      </w:r>
      <w:r w:rsidRPr="00362B67">
        <w:t xml:space="preserve"> не менее 3-х лет. </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иметь положительные отзывы, референции, поставки </w:t>
      </w:r>
      <w:r w:rsidR="006F4917" w:rsidRPr="00362B67">
        <w:t>подобной продукции</w:t>
      </w:r>
      <w:r w:rsidRPr="00362B67">
        <w:t xml:space="preserve"> в предыдущие годы;</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гарантировать поставку качественного, нового товара с соблюдением сроков поставки.</w:t>
      </w:r>
    </w:p>
    <w:p w:rsidR="007031B8" w:rsidRPr="00362B67" w:rsidRDefault="007031B8" w:rsidP="00D35A17">
      <w:pPr>
        <w:ind w:firstLine="0"/>
        <w:rPr>
          <w:b/>
          <w:sz w:val="24"/>
          <w:szCs w:val="24"/>
        </w:rPr>
      </w:pPr>
      <w:r w:rsidRPr="00362B67">
        <w:rPr>
          <w:b/>
          <w:sz w:val="24"/>
          <w:szCs w:val="24"/>
        </w:rPr>
        <w:lastRenderedPageBreak/>
        <w:t xml:space="preserve">8. </w:t>
      </w:r>
      <w:r w:rsidR="00EB69C9" w:rsidRPr="00362B67">
        <w:rPr>
          <w:b/>
          <w:sz w:val="24"/>
          <w:szCs w:val="24"/>
        </w:rPr>
        <w:tab/>
      </w:r>
      <w:r w:rsidRPr="00362B67">
        <w:rPr>
          <w:b/>
          <w:sz w:val="24"/>
          <w:szCs w:val="24"/>
        </w:rPr>
        <w:t>Перечень документации.</w:t>
      </w:r>
    </w:p>
    <w:p w:rsidR="007031B8" w:rsidRPr="00362B67" w:rsidRDefault="007031B8" w:rsidP="00EB69C9">
      <w:pPr>
        <w:pStyle w:val="afffa"/>
        <w:numPr>
          <w:ilvl w:val="0"/>
          <w:numId w:val="63"/>
        </w:numPr>
        <w:spacing w:after="200" w:line="276" w:lineRule="auto"/>
        <w:ind w:hanging="720"/>
        <w:contextualSpacing/>
      </w:pPr>
      <w:r w:rsidRPr="00362B67">
        <w:t>сертификат качества завода – изготовителя</w:t>
      </w:r>
    </w:p>
    <w:p w:rsidR="007031B8" w:rsidRPr="00362B67" w:rsidRDefault="007031B8" w:rsidP="00D35A17">
      <w:pPr>
        <w:ind w:firstLine="0"/>
        <w:rPr>
          <w:sz w:val="24"/>
          <w:szCs w:val="24"/>
        </w:rPr>
      </w:pPr>
      <w:r w:rsidRPr="00362B67">
        <w:rPr>
          <w:sz w:val="24"/>
          <w:szCs w:val="24"/>
        </w:rPr>
        <w:t>Все сопроводительные документы должны быть на русском языке.</w:t>
      </w:r>
    </w:p>
    <w:p w:rsidR="007031B8" w:rsidRPr="00362B67" w:rsidRDefault="007031B8" w:rsidP="00D35A17">
      <w:pPr>
        <w:ind w:firstLine="0"/>
        <w:rPr>
          <w:b/>
          <w:sz w:val="24"/>
          <w:szCs w:val="24"/>
        </w:rPr>
      </w:pPr>
    </w:p>
    <w:p w:rsidR="007031B8" w:rsidRPr="00362B67" w:rsidRDefault="007031B8" w:rsidP="00D35A17">
      <w:pPr>
        <w:ind w:firstLine="0"/>
        <w:rPr>
          <w:b/>
          <w:sz w:val="24"/>
          <w:szCs w:val="24"/>
        </w:rPr>
      </w:pPr>
      <w:r w:rsidRPr="00362B67">
        <w:rPr>
          <w:b/>
          <w:sz w:val="24"/>
          <w:szCs w:val="24"/>
        </w:rPr>
        <w:t xml:space="preserve">9. </w:t>
      </w:r>
      <w:r w:rsidR="00EB69C9" w:rsidRPr="00362B67">
        <w:rPr>
          <w:b/>
          <w:sz w:val="24"/>
          <w:szCs w:val="24"/>
        </w:rPr>
        <w:tab/>
      </w:r>
      <w:r w:rsidRPr="00362B67">
        <w:rPr>
          <w:b/>
          <w:sz w:val="24"/>
          <w:szCs w:val="24"/>
        </w:rPr>
        <w:t>Гарантии изготовителя.</w:t>
      </w:r>
    </w:p>
    <w:p w:rsidR="007031B8" w:rsidRPr="00362B67" w:rsidRDefault="007031B8" w:rsidP="00D35A17">
      <w:pPr>
        <w:ind w:firstLine="0"/>
        <w:rPr>
          <w:sz w:val="24"/>
          <w:szCs w:val="24"/>
        </w:rPr>
      </w:pPr>
    </w:p>
    <w:p w:rsidR="007031B8" w:rsidRPr="00362B67" w:rsidRDefault="007031B8" w:rsidP="00D35A17">
      <w:pPr>
        <w:ind w:firstLine="0"/>
        <w:rPr>
          <w:b/>
          <w:sz w:val="24"/>
          <w:szCs w:val="24"/>
        </w:rPr>
      </w:pPr>
      <w:r w:rsidRPr="00362B67">
        <w:rPr>
          <w:b/>
          <w:sz w:val="24"/>
          <w:szCs w:val="24"/>
        </w:rPr>
        <w:t xml:space="preserve">10. </w:t>
      </w:r>
      <w:r w:rsidR="00EB69C9" w:rsidRPr="00362B67">
        <w:rPr>
          <w:b/>
          <w:sz w:val="24"/>
          <w:szCs w:val="24"/>
        </w:rPr>
        <w:tab/>
      </w:r>
      <w:r w:rsidRPr="00362B67">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FFD" w:rsidRDefault="006A7FFD">
      <w:r>
        <w:separator/>
      </w:r>
    </w:p>
  </w:endnote>
  <w:endnote w:type="continuationSeparator" w:id="0">
    <w:p w:rsidR="006A7FFD" w:rsidRDefault="006A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D726A5">
          <w:rPr>
            <w:noProof/>
          </w:rPr>
          <w:t>40</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FFD" w:rsidRDefault="006A7FFD">
      <w:r>
        <w:separator/>
      </w:r>
    </w:p>
  </w:footnote>
  <w:footnote w:type="continuationSeparator" w:id="0">
    <w:p w:rsidR="006A7FFD" w:rsidRDefault="006A7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D9B"/>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398"/>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24C"/>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2B67"/>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FFD"/>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E34"/>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ED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6A5"/>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7917B-A009-4A87-9807-B59C22D86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11612</Words>
  <Characters>66190</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77647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11</cp:revision>
  <cp:lastPrinted>2015-08-13T14:45:00Z</cp:lastPrinted>
  <dcterms:created xsi:type="dcterms:W3CDTF">2015-10-01T12:15:00Z</dcterms:created>
  <dcterms:modified xsi:type="dcterms:W3CDTF">2015-12-01T11:52:00Z</dcterms:modified>
</cp:coreProperties>
</file>