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DD114A">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DD114A">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DD114A">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DD114A">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DD114A">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C18A2">
        <w:rPr>
          <w:sz w:val="24"/>
          <w:szCs w:val="24"/>
        </w:rPr>
        <w:t>66252-1; 66360</w:t>
      </w:r>
      <w:r w:rsidR="00A052A3">
        <w:rPr>
          <w:sz w:val="24"/>
          <w:szCs w:val="24"/>
        </w:rPr>
        <w:t>-1</w:t>
      </w:r>
      <w:r w:rsidR="000F6ED9">
        <w:rPr>
          <w:sz w:val="24"/>
          <w:szCs w:val="24"/>
        </w:rPr>
        <w:t xml:space="preserve"> от  17.12</w:t>
      </w:r>
      <w:r w:rsidRPr="008054F3">
        <w:rPr>
          <w:sz w:val="24"/>
          <w:szCs w:val="24"/>
        </w:rPr>
        <w:t>.2015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p w:rsidR="00407C2C" w:rsidRDefault="00407C2C" w:rsidP="00407C2C">
      <w:pPr>
        <w:autoSpaceDE w:val="0"/>
        <w:autoSpaceDN w:val="0"/>
        <w:adjustRightInd w:val="0"/>
        <w:spacing w:line="276" w:lineRule="auto"/>
        <w:ind w:right="-72" w:firstLine="0"/>
        <w:rPr>
          <w:b/>
          <w:sz w:val="24"/>
          <w:szCs w:val="24"/>
        </w:rPr>
      </w:pPr>
    </w:p>
    <w:p w:rsidR="00407C2C" w:rsidRPr="004747FE" w:rsidRDefault="00407C2C" w:rsidP="00407C2C">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3C18A2" w:rsidP="00BE4A30">
            <w:pPr>
              <w:autoSpaceDE w:val="0"/>
              <w:autoSpaceDN w:val="0"/>
              <w:adjustRightInd w:val="0"/>
              <w:spacing w:line="276" w:lineRule="auto"/>
              <w:ind w:right="-72" w:firstLine="0"/>
              <w:jc w:val="left"/>
              <w:rPr>
                <w:sz w:val="24"/>
                <w:szCs w:val="24"/>
              </w:rPr>
            </w:pPr>
            <w:r>
              <w:rPr>
                <w:sz w:val="22"/>
                <w:szCs w:val="22"/>
              </w:rPr>
              <w:t>ГСО стандарт-титры</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proofErr w:type="spellStart"/>
            <w:r>
              <w:rPr>
                <w:b/>
                <w:sz w:val="24"/>
                <w:szCs w:val="24"/>
                <w:lang w:eastAsia="en-US"/>
              </w:rPr>
              <w:t>Яйвинская</w:t>
            </w:r>
            <w:proofErr w:type="spellEnd"/>
            <w:r>
              <w:rPr>
                <w:b/>
                <w:sz w:val="24"/>
                <w:szCs w:val="24"/>
                <w:lang w:eastAsia="en-US"/>
              </w:rPr>
              <w:t xml:space="preserve">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w:t>
            </w:r>
            <w:proofErr w:type="spellStart"/>
            <w:r>
              <w:rPr>
                <w:sz w:val="24"/>
                <w:szCs w:val="24"/>
                <w:lang w:eastAsia="en-US"/>
              </w:rPr>
              <w:t>Яйвинская</w:t>
            </w:r>
            <w:proofErr w:type="spellEnd"/>
            <w:r>
              <w:rPr>
                <w:sz w:val="24"/>
                <w:szCs w:val="24"/>
                <w:lang w:eastAsia="en-US"/>
              </w:rPr>
              <w:t xml:space="preserve">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540264" w:rsidRDefault="00407C2C" w:rsidP="00BE4A30">
            <w:pPr>
              <w:autoSpaceDE w:val="0"/>
              <w:autoSpaceDN w:val="0"/>
              <w:adjustRightInd w:val="0"/>
              <w:spacing w:line="276" w:lineRule="auto"/>
              <w:ind w:firstLine="0"/>
              <w:jc w:val="left"/>
              <w:rPr>
                <w:sz w:val="24"/>
                <w:szCs w:val="24"/>
                <w:lang w:val="en-US" w:eastAsia="en-US"/>
              </w:rPr>
            </w:pPr>
            <w:r w:rsidRPr="004747FE">
              <w:rPr>
                <w:sz w:val="24"/>
                <w:szCs w:val="24"/>
                <w:lang w:eastAsia="en-US"/>
              </w:rPr>
              <w:t xml:space="preserve">Сотрудник подразделения закупок: </w:t>
            </w:r>
            <w:r w:rsidR="00540264">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540264"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w:t>
            </w:r>
            <w:r w:rsidR="00540264">
              <w:rPr>
                <w:sz w:val="24"/>
                <w:szCs w:val="24"/>
                <w:lang w:eastAsia="en-US"/>
              </w:rPr>
              <w:t>4</w:t>
            </w:r>
          </w:p>
        </w:tc>
      </w:tr>
      <w:tr w:rsidR="00407C2C" w:rsidRPr="004747FE" w:rsidTr="00BE4A30">
        <w:trPr>
          <w:trHeight w:val="1773"/>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F14DD1">
              <w:rPr>
                <w:sz w:val="24"/>
                <w:szCs w:val="24"/>
                <w:lang w:eastAsia="en-US"/>
              </w:rPr>
              <w:t>17</w:t>
            </w:r>
            <w:r w:rsidR="00593D63">
              <w:rPr>
                <w:sz w:val="24"/>
                <w:szCs w:val="24"/>
                <w:lang w:eastAsia="en-US"/>
              </w:rPr>
              <w:t>.1</w:t>
            </w:r>
            <w:r w:rsidR="00F14DD1">
              <w:rPr>
                <w:sz w:val="24"/>
                <w:szCs w:val="24"/>
                <w:lang w:eastAsia="en-US"/>
              </w:rPr>
              <w:t>2</w:t>
            </w:r>
            <w:r w:rsidRPr="008054F3">
              <w:rPr>
                <w:sz w:val="24"/>
                <w:szCs w:val="24"/>
                <w:lang w:eastAsia="en-US"/>
              </w:rPr>
              <w:t>.2015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proofErr w:type="gramStart"/>
            <w:r w:rsidR="001A6529">
              <w:rPr>
                <w:sz w:val="24"/>
                <w:szCs w:val="24"/>
                <w:lang w:eastAsia="en-US"/>
              </w:rPr>
              <w:t>МСК</w:t>
            </w:r>
            <w:proofErr w:type="gramEnd"/>
            <w:r w:rsidR="001A6529">
              <w:rPr>
                <w:sz w:val="24"/>
                <w:szCs w:val="24"/>
                <w:lang w:eastAsia="en-US"/>
              </w:rPr>
              <w:t xml:space="preserve">) </w:t>
            </w:r>
            <w:r w:rsidR="0027706D">
              <w:rPr>
                <w:sz w:val="24"/>
                <w:szCs w:val="24"/>
                <w:lang w:eastAsia="en-US"/>
              </w:rPr>
              <w:t>29</w:t>
            </w:r>
            <w:r w:rsidR="001A6529">
              <w:rPr>
                <w:sz w:val="24"/>
                <w:szCs w:val="24"/>
                <w:lang w:eastAsia="en-US"/>
              </w:rPr>
              <w:t>.1</w:t>
            </w:r>
            <w:r w:rsidR="0027706D">
              <w:rPr>
                <w:sz w:val="24"/>
                <w:szCs w:val="24"/>
                <w:lang w:eastAsia="en-US"/>
              </w:rPr>
              <w:t>2</w:t>
            </w:r>
            <w:r w:rsidRPr="008054F3">
              <w:rPr>
                <w:sz w:val="24"/>
                <w:szCs w:val="24"/>
                <w:lang w:eastAsia="en-US"/>
              </w:rPr>
              <w:t>.2015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F3026D" w:rsidRDefault="00540264" w:rsidP="00BE4A30">
            <w:pPr>
              <w:tabs>
                <w:tab w:val="left" w:pos="0"/>
                <w:tab w:val="left" w:pos="5657"/>
              </w:tabs>
              <w:spacing w:line="276" w:lineRule="auto"/>
              <w:ind w:left="540" w:right="153" w:hanging="540"/>
              <w:jc w:val="left"/>
              <w:rPr>
                <w:i/>
                <w:sz w:val="24"/>
                <w:szCs w:val="24"/>
              </w:rPr>
            </w:pPr>
            <w:r>
              <w:rPr>
                <w:sz w:val="24"/>
                <w:szCs w:val="24"/>
                <w:lang w:eastAsia="en-US"/>
              </w:rPr>
              <w:t>1</w:t>
            </w:r>
            <w:r w:rsidR="00664C5C">
              <w:rPr>
                <w:sz w:val="24"/>
                <w:szCs w:val="24"/>
                <w:lang w:eastAsia="en-US"/>
              </w:rPr>
              <w:t>1.01.2016г. – 29.02</w:t>
            </w:r>
            <w:r w:rsidR="00407C2C">
              <w:rPr>
                <w:sz w:val="24"/>
                <w:szCs w:val="24"/>
                <w:lang w:eastAsia="en-US"/>
              </w:rPr>
              <w:t xml:space="preserve">.2016г.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proofErr w:type="spellStart"/>
            <w:r>
              <w:rPr>
                <w:bCs/>
                <w:sz w:val="24"/>
                <w:szCs w:val="24"/>
              </w:rPr>
              <w:t>Яйвинская</w:t>
            </w:r>
            <w:proofErr w:type="spellEnd"/>
            <w:r>
              <w:rPr>
                <w:bCs/>
                <w:sz w:val="24"/>
                <w:szCs w:val="24"/>
              </w:rPr>
              <w:t xml:space="preserve">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E04569"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407C2C" w:rsidRPr="004747FE">
              <w:rPr>
                <w:sz w:val="24"/>
                <w:szCs w:val="24"/>
              </w:rPr>
              <w:t xml:space="preserve"> (</w:t>
            </w:r>
            <w:r>
              <w:rPr>
                <w:sz w:val="24"/>
                <w:szCs w:val="24"/>
              </w:rPr>
              <w:t>два</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lastRenderedPageBreak/>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8D131F">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8D131F">
        <w:rPr>
          <w:rFonts w:ascii="Times New Roman" w:hAnsi="Times New Roman"/>
          <w:sz w:val="24"/>
          <w:szCs w:val="24"/>
        </w:rPr>
        <w:t>Предложение</w:t>
      </w:r>
      <w:bookmarkEnd w:id="9"/>
    </w:p>
    <w:p w:rsidR="00A101C5" w:rsidRPr="008D131F" w:rsidRDefault="00B620AF" w:rsidP="00A101C5">
      <w:pPr>
        <w:pStyle w:val="21"/>
        <w:spacing w:line="276" w:lineRule="auto"/>
        <w:rPr>
          <w:sz w:val="24"/>
          <w:szCs w:val="24"/>
        </w:rPr>
      </w:pPr>
      <w:bookmarkStart w:id="11" w:name="_Ref55336310"/>
      <w:bookmarkStart w:id="12" w:name="_Toc57314672"/>
      <w:bookmarkStart w:id="13" w:name="_Toc69728986"/>
      <w:bookmarkStart w:id="14" w:name="_Toc427744509"/>
      <w:bookmarkEnd w:id="10"/>
      <w:r w:rsidRPr="008D131F">
        <w:rPr>
          <w:sz w:val="24"/>
          <w:szCs w:val="24"/>
        </w:rPr>
        <w:t xml:space="preserve">Письмо о подаче оферты </w:t>
      </w:r>
      <w:bookmarkStart w:id="15" w:name="_Ref22846535"/>
      <w:r w:rsidRPr="008D131F">
        <w:rPr>
          <w:sz w:val="24"/>
          <w:szCs w:val="24"/>
        </w:rPr>
        <w:t>(</w:t>
      </w:r>
      <w:bookmarkEnd w:id="15"/>
      <w:r w:rsidRPr="008D131F">
        <w:rPr>
          <w:sz w:val="24"/>
          <w:szCs w:val="24"/>
        </w:rPr>
        <w:t xml:space="preserve">форма </w:t>
      </w:r>
      <w:r w:rsidR="00CC6391" w:rsidRPr="008D131F">
        <w:rPr>
          <w:sz w:val="24"/>
          <w:szCs w:val="24"/>
        </w:rPr>
        <w:t>1</w:t>
      </w:r>
      <w:r w:rsidRPr="008D131F">
        <w:rPr>
          <w:sz w:val="24"/>
          <w:szCs w:val="24"/>
        </w:rPr>
        <w:t>)</w:t>
      </w:r>
      <w:bookmarkEnd w:id="11"/>
      <w:bookmarkEnd w:id="12"/>
      <w:bookmarkEnd w:id="13"/>
      <w:bookmarkEnd w:id="14"/>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6" w:name="_Toc238285393"/>
      <w:bookmarkStart w:id="17" w:name="_Toc423378590"/>
      <w:bookmarkStart w:id="18"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6"/>
      <w:bookmarkEnd w:id="17"/>
      <w:bookmarkEnd w:id="18"/>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19"/>
      <w:bookmarkEnd w:id="20"/>
      <w:bookmarkEnd w:id="21"/>
      <w:bookmarkEnd w:id="22"/>
      <w:bookmarkEnd w:id="23"/>
      <w:bookmarkEnd w:id="24"/>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6" w:name="_Toc213755446"/>
      <w:bookmarkStart w:id="27" w:name="_Toc423378599"/>
      <w:bookmarkStart w:id="28"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6"/>
      <w:bookmarkEnd w:id="27"/>
      <w:bookmarkEnd w:id="28"/>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29" w:name="_Ref86826666"/>
      <w:bookmarkStart w:id="30" w:name="_Toc90385112"/>
      <w:bookmarkStart w:id="31"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2" w:name="_Toc90385113"/>
      <w:bookmarkEnd w:id="29"/>
      <w:bookmarkEnd w:id="30"/>
      <w:bookmarkEnd w:id="31"/>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2"/>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3" w:name="_Toc90385114"/>
      <w:bookmarkStart w:id="34"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3"/>
      <w:bookmarkEnd w:id="34"/>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5" w:name="_Ref89649494"/>
      <w:bookmarkStart w:id="36"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8D131F" w:rsidRDefault="00B620AF" w:rsidP="00FF6AB5">
      <w:pPr>
        <w:pStyle w:val="21"/>
        <w:spacing w:line="276" w:lineRule="auto"/>
        <w:rPr>
          <w:sz w:val="24"/>
          <w:szCs w:val="24"/>
        </w:rPr>
      </w:pPr>
      <w:bookmarkStart w:id="43"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4" w:name="_Toc90385119"/>
      <w:bookmarkEnd w:id="37"/>
      <w:bookmarkEnd w:id="38"/>
      <w:bookmarkEnd w:id="39"/>
      <w:bookmarkEnd w:id="43"/>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4"/>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0"/>
    <w:bookmarkEnd w:id="41"/>
    <w:bookmarkEnd w:id="42"/>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5"/>
      <w:bookmarkEnd w:id="46"/>
      <w:bookmarkEnd w:id="47"/>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7744513"/>
      <w:bookmarkEnd w:id="25"/>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8"/>
      <w:bookmarkEnd w:id="49"/>
      <w:bookmarkEnd w:id="50"/>
      <w:bookmarkEnd w:id="51"/>
      <w:bookmarkEnd w:id="52"/>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3" w:name="_Toc423378614"/>
      <w:bookmarkStart w:id="54" w:name="_Toc423421117"/>
      <w:r w:rsidRPr="008D131F">
        <w:rPr>
          <w:sz w:val="24"/>
          <w:szCs w:val="24"/>
        </w:rPr>
        <w:br w:type="page"/>
      </w:r>
      <w:r w:rsidR="0089186F" w:rsidRPr="008D131F">
        <w:rPr>
          <w:b/>
          <w:sz w:val="24"/>
          <w:szCs w:val="24"/>
        </w:rPr>
        <w:lastRenderedPageBreak/>
        <w:t>Инструкции по заполнению</w:t>
      </w:r>
      <w:bookmarkEnd w:id="53"/>
      <w:bookmarkEnd w:id="54"/>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5"/>
      <w:bookmarkEnd w:id="56"/>
      <w:bookmarkEnd w:id="57"/>
      <w:bookmarkEnd w:id="58"/>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59" w:name="_Ref55336389"/>
      <w:bookmarkStart w:id="60" w:name="_Toc57314677"/>
      <w:bookmarkStart w:id="61"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2" w:name="_Toc207796007"/>
      <w:bookmarkStart w:id="63" w:name="_Toc423378617"/>
      <w:bookmarkStart w:id="64"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2"/>
      <w:bookmarkEnd w:id="63"/>
      <w:bookmarkEnd w:id="64"/>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5" w:name="_Ref209512344"/>
      <w:bookmarkStart w:id="66"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59"/>
      <w:bookmarkEnd w:id="60"/>
      <w:bookmarkEnd w:id="61"/>
      <w:bookmarkEnd w:id="65"/>
      <w:bookmarkEnd w:id="66"/>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7" w:name="_Toc423378620"/>
      <w:bookmarkStart w:id="68"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7"/>
      <w:bookmarkEnd w:id="68"/>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69"/>
      <w:bookmarkEnd w:id="70"/>
      <w:bookmarkEnd w:id="71"/>
      <w:bookmarkEnd w:id="72"/>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3" w:name="_Toc423378623"/>
      <w:bookmarkStart w:id="74" w:name="_Toc423421126"/>
      <w:r w:rsidRPr="008D131F">
        <w:rPr>
          <w:b/>
          <w:sz w:val="24"/>
          <w:szCs w:val="24"/>
        </w:rPr>
        <w:lastRenderedPageBreak/>
        <w:t>Инструкции по заполнению</w:t>
      </w:r>
      <w:bookmarkEnd w:id="73"/>
      <w:bookmarkEnd w:id="74"/>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5" w:name="_Ref285092299"/>
      <w:bookmarkStart w:id="76"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5"/>
      <w:bookmarkEnd w:id="76"/>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7"/>
      <w:bookmarkEnd w:id="78"/>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bookmarkStart w:id="79" w:name="_GoBack"/>
      <w:bookmarkEnd w:id="79"/>
    </w:p>
    <w:sectPr w:rsidR="00406535" w:rsidRPr="008D131F"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4A" w:rsidRDefault="00DD114A">
      <w:r>
        <w:separator/>
      </w:r>
    </w:p>
  </w:endnote>
  <w:endnote w:type="continuationSeparator" w:id="0">
    <w:p w:rsidR="00DD114A" w:rsidRDefault="00DD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roman"/>
    <w:notTrueType/>
    <w:pitch w:val="variable"/>
    <w:sig w:usb0="00000201" w:usb1="00000000" w:usb2="00000000" w:usb3="00000000" w:csb0="00000004"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E4A30" w:rsidRDefault="00BE4A30">
        <w:pPr>
          <w:pStyle w:val="af0"/>
          <w:jc w:val="right"/>
        </w:pPr>
        <w:r>
          <w:fldChar w:fldCharType="begin"/>
        </w:r>
        <w:r>
          <w:instrText xml:space="preserve"> PAGE   \* MERGEFORMAT </w:instrText>
        </w:r>
        <w:r>
          <w:fldChar w:fldCharType="separate"/>
        </w:r>
        <w:r w:rsidR="00540264">
          <w:rPr>
            <w:noProof/>
          </w:rPr>
          <w:t>28</w:t>
        </w:r>
        <w:r>
          <w:rPr>
            <w:noProof/>
          </w:rPr>
          <w:fldChar w:fldCharType="end"/>
        </w:r>
      </w:p>
    </w:sdtContent>
  </w:sdt>
  <w:p w:rsidR="00BE4A30" w:rsidRDefault="00BE4A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4A" w:rsidRDefault="00DD114A">
      <w:r>
        <w:separator/>
      </w:r>
    </w:p>
  </w:footnote>
  <w:footnote w:type="continuationSeparator" w:id="0">
    <w:p w:rsidR="00DD114A" w:rsidRDefault="00DD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30" w:rsidRPr="00F01080" w:rsidRDefault="00BE4A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A0C"/>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6ED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06D"/>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18A2"/>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9D0"/>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26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C5C"/>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28"/>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6AB"/>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14A"/>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DD1"/>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B6370-33AF-4095-BC27-B54A4246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4888</Words>
  <Characters>27866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17</cp:revision>
  <cp:lastPrinted>2015-10-09T13:17:00Z</cp:lastPrinted>
  <dcterms:created xsi:type="dcterms:W3CDTF">2015-10-13T08:23:00Z</dcterms:created>
  <dcterms:modified xsi:type="dcterms:W3CDTF">2015-12-17T12:39:00Z</dcterms:modified>
</cp:coreProperties>
</file>