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8F1B2E">
        <w:rPr>
          <w:color w:val="000000"/>
          <w:sz w:val="24"/>
          <w:szCs w:val="24"/>
        </w:rPr>
        <w:t>68/ПУ</w:t>
      </w:r>
      <w:r>
        <w:rPr>
          <w:color w:val="000000"/>
          <w:sz w:val="24"/>
          <w:szCs w:val="24"/>
        </w:rPr>
        <w:t xml:space="preserve"> от «</w:t>
      </w:r>
      <w:r w:rsidR="008F1B2E">
        <w:rPr>
          <w:color w:val="000000"/>
          <w:sz w:val="24"/>
          <w:szCs w:val="24"/>
        </w:rPr>
        <w:t xml:space="preserve">03» марта 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8F1B2E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8F1B2E">
              <w:rPr>
                <w:bCs/>
                <w:sz w:val="24"/>
                <w:szCs w:val="24"/>
              </w:rPr>
              <w:t>Выполнение работ по монтажу вспомогательного оборудования конвейеров 1А, 1Б, 1В; 1/1А, 1/1Б, 1/1В узла приема топлива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8F1B2E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8F1B2E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8F1B2E">
              <w:rPr>
                <w:sz w:val="24"/>
                <w:szCs w:val="24"/>
                <w:lang w:eastAsia="en-US"/>
              </w:rPr>
              <w:t>03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8F1B2E">
              <w:rPr>
                <w:sz w:val="24"/>
                <w:szCs w:val="24"/>
                <w:lang w:eastAsia="en-US"/>
              </w:rPr>
              <w:t>03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8F1B2E">
              <w:rPr>
                <w:sz w:val="24"/>
                <w:szCs w:val="24"/>
                <w:lang w:eastAsia="en-US"/>
              </w:rPr>
              <w:t>11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8F1B2E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Март 2016 – </w:t>
            </w:r>
            <w:r w:rsidR="008F1B2E">
              <w:rPr>
                <w:sz w:val="24"/>
                <w:szCs w:val="24"/>
                <w:lang w:eastAsia="en-US"/>
              </w:rPr>
              <w:t>Май</w:t>
            </w:r>
            <w:r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  <w:bookmarkStart w:id="1" w:name="_GoBack"/>
      <w:bookmarkEnd w:id="1"/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C6B2D"/>
    <w:rsid w:val="006177E8"/>
    <w:rsid w:val="00676626"/>
    <w:rsid w:val="008F1B2E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10</cp:revision>
  <cp:lastPrinted>2016-02-17T11:55:00Z</cp:lastPrinted>
  <dcterms:created xsi:type="dcterms:W3CDTF">2016-02-17T11:15:00Z</dcterms:created>
  <dcterms:modified xsi:type="dcterms:W3CDTF">2016-03-03T10:41:00Z</dcterms:modified>
</cp:coreProperties>
</file>