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FB30F1" w:rsidRPr="00FB30F1">
        <w:rPr>
          <w:b/>
          <w:sz w:val="24"/>
          <w:szCs w:val="24"/>
        </w:rPr>
        <w:t>132</w:t>
      </w:r>
      <w:r w:rsidR="00D607AE">
        <w:rPr>
          <w:b/>
          <w:sz w:val="24"/>
          <w:szCs w:val="24"/>
        </w:rPr>
        <w:t>/ПМ</w:t>
      </w:r>
      <w:r w:rsidRPr="00ED7B74">
        <w:rPr>
          <w:b/>
          <w:sz w:val="24"/>
          <w:szCs w:val="24"/>
        </w:rPr>
        <w:t xml:space="preserve"> от </w:t>
      </w:r>
      <w:r w:rsidR="006E02C0" w:rsidRPr="006E02C0">
        <w:rPr>
          <w:b/>
          <w:sz w:val="24"/>
          <w:szCs w:val="24"/>
        </w:rPr>
        <w:t>«</w:t>
      </w:r>
      <w:r w:rsidR="004A25E0">
        <w:rPr>
          <w:b/>
          <w:sz w:val="24"/>
          <w:szCs w:val="24"/>
        </w:rPr>
        <w:t>0</w:t>
      </w:r>
      <w:r w:rsidR="00FB30F1" w:rsidRPr="00FB30F1">
        <w:rPr>
          <w:b/>
          <w:sz w:val="24"/>
          <w:szCs w:val="24"/>
        </w:rPr>
        <w:t>8</w:t>
      </w:r>
      <w:r w:rsidR="006E02C0" w:rsidRPr="006E02C0">
        <w:rPr>
          <w:b/>
          <w:sz w:val="24"/>
          <w:szCs w:val="24"/>
        </w:rPr>
        <w:t xml:space="preserve">» </w:t>
      </w:r>
      <w:r w:rsidR="00FB30F1">
        <w:rPr>
          <w:b/>
          <w:sz w:val="24"/>
          <w:szCs w:val="24"/>
        </w:rPr>
        <w:t>апреля</w:t>
      </w:r>
      <w:r w:rsidR="006E02C0" w:rsidRPr="006E02C0">
        <w:rPr>
          <w:b/>
          <w:sz w:val="24"/>
          <w:szCs w:val="24"/>
        </w:rPr>
        <w:t xml:space="preserve"> 2016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Pr="0043475F" w:rsidRDefault="00D607AE" w:rsidP="004A25E0">
            <w:pPr>
              <w:autoSpaceDE w:val="0"/>
              <w:autoSpaceDN w:val="0"/>
              <w:adjustRightInd w:val="0"/>
              <w:spacing w:line="276" w:lineRule="auto"/>
              <w:ind w:right="-72" w:firstLine="0"/>
              <w:rPr>
                <w:b/>
                <w:bCs/>
                <w:sz w:val="24"/>
                <w:szCs w:val="24"/>
              </w:rPr>
            </w:pPr>
            <w:r>
              <w:rPr>
                <w:b/>
                <w:bCs/>
                <w:sz w:val="24"/>
                <w:szCs w:val="24"/>
              </w:rPr>
              <w:t>Поставка</w:t>
            </w:r>
            <w:r w:rsidRPr="00D607AE">
              <w:rPr>
                <w:b/>
                <w:bCs/>
                <w:sz w:val="24"/>
                <w:szCs w:val="24"/>
              </w:rPr>
              <w:t xml:space="preserve"> спецодежды для собственных нужд Филиала «Берёзовский» ООО «Э.ОН Инжиниринг»</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D607AE">
              <w:rPr>
                <w:sz w:val="24"/>
                <w:szCs w:val="24"/>
                <w:lang w:eastAsia="en-US"/>
              </w:rPr>
              <w:t>О</w:t>
            </w:r>
            <w:r w:rsidRPr="006E02C0">
              <w:rPr>
                <w:sz w:val="24"/>
                <w:szCs w:val="24"/>
                <w:lang w:eastAsia="en-US"/>
              </w:rPr>
              <w:t xml:space="preserve">О «Э.ОН </w:t>
            </w:r>
            <w:r w:rsidR="00D607AE">
              <w:rPr>
                <w:sz w:val="24"/>
                <w:szCs w:val="24"/>
                <w:lang w:eastAsia="en-US"/>
              </w:rPr>
              <w:t>Инжиниринг</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Default="00BC5425" w:rsidP="004012F6">
            <w:pPr>
              <w:autoSpaceDE w:val="0"/>
              <w:autoSpaceDN w:val="0"/>
              <w:adjustRightInd w:val="0"/>
              <w:spacing w:line="276" w:lineRule="auto"/>
              <w:ind w:firstLine="0"/>
              <w:rPr>
                <w:rStyle w:val="af2"/>
                <w:sz w:val="24"/>
                <w:szCs w:val="24"/>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FB30F1" w:rsidRPr="002331F5">
                <w:rPr>
                  <w:rStyle w:val="af2"/>
                  <w:lang w:val="en-US"/>
                </w:rPr>
                <w:t>Zelinskaya</w:t>
              </w:r>
              <w:r w:rsidR="00FB30F1" w:rsidRPr="00FB30F1">
                <w:rPr>
                  <w:rStyle w:val="af2"/>
                </w:rPr>
                <w:t>_</w:t>
              </w:r>
              <w:r w:rsidR="00FB30F1" w:rsidRPr="002331F5">
                <w:rPr>
                  <w:rStyle w:val="af2"/>
                  <w:lang w:val="en-US"/>
                </w:rPr>
                <w:t>I</w:t>
              </w:r>
              <w:r w:rsidR="00FB30F1" w:rsidRPr="002331F5">
                <w:rPr>
                  <w:rStyle w:val="af2"/>
                  <w:sz w:val="24"/>
                  <w:szCs w:val="24"/>
                </w:rPr>
                <w:t>@</w:t>
              </w:r>
              <w:r w:rsidR="00FB30F1" w:rsidRPr="002331F5">
                <w:rPr>
                  <w:rStyle w:val="af2"/>
                  <w:sz w:val="24"/>
                  <w:szCs w:val="24"/>
                  <w:lang w:val="en-US"/>
                </w:rPr>
                <w:t>eon</w:t>
              </w:r>
              <w:r w:rsidR="00FB30F1" w:rsidRPr="002331F5">
                <w:rPr>
                  <w:rStyle w:val="af2"/>
                  <w:sz w:val="24"/>
                  <w:szCs w:val="24"/>
                </w:rPr>
                <w:t>-</w:t>
              </w:r>
              <w:r w:rsidR="00FB30F1" w:rsidRPr="002331F5">
                <w:rPr>
                  <w:rStyle w:val="af2"/>
                  <w:sz w:val="24"/>
                  <w:szCs w:val="24"/>
                  <w:lang w:val="en-US"/>
                </w:rPr>
                <w:t>russia</w:t>
              </w:r>
              <w:r w:rsidR="00FB30F1" w:rsidRPr="002331F5">
                <w:rPr>
                  <w:rStyle w:val="af2"/>
                  <w:sz w:val="24"/>
                  <w:szCs w:val="24"/>
                </w:rPr>
                <w:t>.</w:t>
              </w:r>
              <w:proofErr w:type="spellStart"/>
              <w:r w:rsidR="00FB30F1" w:rsidRPr="002331F5">
                <w:rPr>
                  <w:rStyle w:val="af2"/>
                  <w:sz w:val="24"/>
                  <w:szCs w:val="24"/>
                  <w:lang w:val="en-US"/>
                </w:rPr>
                <w:t>ru</w:t>
              </w:r>
              <w:proofErr w:type="spellEnd"/>
            </w:hyperlink>
          </w:p>
          <w:p w:rsidR="00BC5425" w:rsidRPr="00FB30F1" w:rsidRDefault="00967A08" w:rsidP="004012F6">
            <w:pPr>
              <w:spacing w:line="276" w:lineRule="auto"/>
              <w:ind w:right="153" w:firstLine="0"/>
              <w:rPr>
                <w:sz w:val="24"/>
                <w:szCs w:val="24"/>
                <w:lang w:val="en-US" w:eastAsia="en-US"/>
              </w:rPr>
            </w:pPr>
            <w:r w:rsidRPr="00033237">
              <w:rPr>
                <w:sz w:val="24"/>
                <w:szCs w:val="24"/>
                <w:lang w:eastAsia="en-US"/>
              </w:rPr>
              <w:t xml:space="preserve">номер контактного телефона: </w:t>
            </w:r>
            <w:r w:rsidR="004C4E98" w:rsidRPr="004C4E98">
              <w:rPr>
                <w:sz w:val="24"/>
                <w:szCs w:val="24"/>
                <w:lang w:eastAsia="en-US"/>
              </w:rPr>
              <w:t xml:space="preserve">+7 </w:t>
            </w:r>
            <w:r w:rsidR="00FB30F1">
              <w:rPr>
                <w:sz w:val="24"/>
                <w:szCs w:val="24"/>
                <w:lang w:eastAsia="en-US"/>
              </w:rPr>
              <w:t>(39153) 71-6-21 доб. 6</w:t>
            </w:r>
            <w:r w:rsidR="00FB30F1">
              <w:rPr>
                <w:sz w:val="24"/>
                <w:szCs w:val="24"/>
                <w:lang w:val="en-US" w:eastAsia="en-US"/>
              </w:rPr>
              <w:t>0</w:t>
            </w:r>
            <w:r w:rsidR="004C4E98" w:rsidRPr="004C4E98">
              <w:rPr>
                <w:sz w:val="24"/>
                <w:szCs w:val="24"/>
                <w:lang w:eastAsia="en-US"/>
              </w:rPr>
              <w:t>-5</w:t>
            </w:r>
            <w:r w:rsidR="00FB30F1">
              <w:rPr>
                <w:sz w:val="24"/>
                <w:szCs w:val="24"/>
                <w:lang w:val="en-US" w:eastAsia="en-US"/>
              </w:rPr>
              <w:t>0</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B5130" w:rsidRDefault="00BC5425" w:rsidP="00F3026D">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BC5425" w:rsidRPr="000B5130" w:rsidRDefault="00967A08" w:rsidP="00D607AE">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4A25E0">
              <w:rPr>
                <w:b/>
                <w:sz w:val="24"/>
                <w:szCs w:val="24"/>
                <w:lang w:eastAsia="en-US"/>
              </w:rPr>
              <w:t>0</w:t>
            </w:r>
            <w:r w:rsidR="00FB30F1">
              <w:rPr>
                <w:b/>
                <w:sz w:val="24"/>
                <w:szCs w:val="24"/>
                <w:lang w:val="en-US" w:eastAsia="en-US"/>
              </w:rPr>
              <w:t>8</w:t>
            </w:r>
            <w:r w:rsidRPr="000B5130">
              <w:rPr>
                <w:b/>
                <w:sz w:val="24"/>
                <w:szCs w:val="24"/>
                <w:lang w:eastAsia="en-US"/>
              </w:rPr>
              <w:t>.</w:t>
            </w:r>
            <w:r w:rsidR="000948F4" w:rsidRPr="000B5130">
              <w:rPr>
                <w:b/>
                <w:sz w:val="24"/>
                <w:szCs w:val="24"/>
                <w:lang w:eastAsia="en-US"/>
              </w:rPr>
              <w:t>0</w:t>
            </w:r>
            <w:r w:rsidR="00FB30F1">
              <w:rPr>
                <w:b/>
                <w:sz w:val="24"/>
                <w:szCs w:val="24"/>
                <w:lang w:val="en-US" w:eastAsia="en-US"/>
              </w:rPr>
              <w:t>4</w:t>
            </w:r>
            <w:r w:rsidRPr="000B5130">
              <w:rPr>
                <w:b/>
                <w:sz w:val="24"/>
                <w:szCs w:val="24"/>
                <w:lang w:eastAsia="en-US"/>
              </w:rPr>
              <w:t>.201</w:t>
            </w:r>
            <w:r w:rsidR="000948F4" w:rsidRPr="000B5130">
              <w:rPr>
                <w:b/>
                <w:sz w:val="24"/>
                <w:szCs w:val="24"/>
                <w:lang w:eastAsia="en-US"/>
              </w:rPr>
              <w:t>6</w:t>
            </w:r>
            <w:r w:rsidR="00BC5425" w:rsidRPr="000B5130">
              <w:rPr>
                <w:b/>
                <w:sz w:val="24"/>
                <w:szCs w:val="24"/>
                <w:lang w:eastAsia="en-US"/>
              </w:rPr>
              <w:t>г</w:t>
            </w:r>
            <w:r w:rsidR="004C4E98" w:rsidRPr="000B5130">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B5130" w:rsidRDefault="00BC5425" w:rsidP="00F3026D">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w:t>
            </w:r>
            <w:r w:rsidR="007932CA" w:rsidRPr="000B5130">
              <w:rPr>
                <w:sz w:val="24"/>
                <w:szCs w:val="24"/>
                <w:lang w:eastAsia="en-US"/>
              </w:rPr>
              <w:t xml:space="preserve">до 12:00 (UTC+3:00) </w:t>
            </w:r>
            <w:r w:rsidR="00FB30F1" w:rsidRPr="00FB30F1">
              <w:rPr>
                <w:b/>
                <w:sz w:val="24"/>
                <w:szCs w:val="24"/>
                <w:lang w:eastAsia="en-US"/>
              </w:rPr>
              <w:t>22</w:t>
            </w:r>
            <w:r w:rsidR="000948F4" w:rsidRPr="000B5130">
              <w:rPr>
                <w:b/>
                <w:sz w:val="24"/>
                <w:szCs w:val="24"/>
                <w:lang w:eastAsia="en-US"/>
              </w:rPr>
              <w:t>.0</w:t>
            </w:r>
            <w:r w:rsidR="00FB30F1" w:rsidRPr="00FB30F1">
              <w:rPr>
                <w:b/>
                <w:sz w:val="24"/>
                <w:szCs w:val="24"/>
                <w:lang w:eastAsia="en-US"/>
              </w:rPr>
              <w:t>4</w:t>
            </w:r>
            <w:r w:rsidR="00454C5E" w:rsidRPr="000B5130">
              <w:rPr>
                <w:b/>
                <w:sz w:val="24"/>
                <w:szCs w:val="24"/>
                <w:lang w:eastAsia="en-US"/>
              </w:rPr>
              <w:t>.</w:t>
            </w:r>
            <w:r w:rsidR="000948F4" w:rsidRPr="000B5130">
              <w:rPr>
                <w:b/>
                <w:sz w:val="24"/>
                <w:szCs w:val="24"/>
                <w:lang w:eastAsia="en-US"/>
              </w:rPr>
              <w:t>2016</w:t>
            </w:r>
            <w:r w:rsidR="00454C5E" w:rsidRPr="000B5130">
              <w:rPr>
                <w:b/>
                <w:sz w:val="24"/>
                <w:szCs w:val="24"/>
                <w:lang w:eastAsia="en-US"/>
              </w:rPr>
              <w:t xml:space="preserve"> г.</w:t>
            </w:r>
          </w:p>
          <w:p w:rsidR="00BC5425" w:rsidRPr="000B5130" w:rsidRDefault="00BC5425" w:rsidP="00F3026D">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619CA"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w:t>
            </w:r>
            <w:r w:rsidR="00A02480" w:rsidRPr="000B5130">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B5130">
              <w:rPr>
                <w:sz w:val="24"/>
                <w:szCs w:val="24"/>
                <w:lang w:eastAsia="en-US"/>
              </w:rPr>
              <w:t xml:space="preserve"> должно быть подано в запечатанном конверте в составе следующих частей:</w:t>
            </w:r>
            <w:proofErr w:type="gramEnd"/>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xml:space="preserve">- Часть №2 «Предложение с коммерческой составляющей» - оригинал предложения на бумажном </w:t>
            </w:r>
            <w:r w:rsidRPr="000B5130">
              <w:rPr>
                <w:sz w:val="24"/>
                <w:szCs w:val="24"/>
                <w:lang w:eastAsia="en-US"/>
              </w:rPr>
              <w:lastRenderedPageBreak/>
              <w:t>носителе и на диске в сканированном виде с указанием коммерческой составляющей (цены, сметы и т.д.);</w:t>
            </w:r>
          </w:p>
          <w:p w:rsidR="00BC5425"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Место приема предложений:</w:t>
            </w:r>
            <w:r w:rsidR="00967A08" w:rsidRPr="000B5130">
              <w:rPr>
                <w:b/>
                <w:sz w:val="24"/>
                <w:szCs w:val="24"/>
                <w:lang w:eastAsia="en-US"/>
              </w:rPr>
              <w:t xml:space="preserve"> </w:t>
            </w:r>
            <w:r w:rsidR="00DB5BC6" w:rsidRPr="000B5130">
              <w:rPr>
                <w:sz w:val="24"/>
                <w:szCs w:val="24"/>
                <w:lang w:eastAsia="en-US"/>
              </w:rPr>
              <w:t xml:space="preserve">Красноярский край, г. Шарыпово, </w:t>
            </w:r>
            <w:proofErr w:type="spellStart"/>
            <w:r w:rsidR="00DB5BC6" w:rsidRPr="000B5130">
              <w:rPr>
                <w:sz w:val="24"/>
                <w:szCs w:val="24"/>
                <w:lang w:eastAsia="en-US"/>
              </w:rPr>
              <w:t>Промбаза</w:t>
            </w:r>
            <w:proofErr w:type="spellEnd"/>
            <w:r w:rsidR="00DB5BC6" w:rsidRPr="000B5130">
              <w:rPr>
                <w:sz w:val="24"/>
                <w:szCs w:val="24"/>
                <w:lang w:eastAsia="en-US"/>
              </w:rPr>
              <w:t xml:space="preserve"> Энергетиков 5, здание конторы КЭС, </w:t>
            </w:r>
            <w:proofErr w:type="spellStart"/>
            <w:r w:rsidR="00DB5BC6" w:rsidRPr="000B5130">
              <w:rPr>
                <w:sz w:val="24"/>
                <w:szCs w:val="24"/>
                <w:lang w:eastAsia="en-US"/>
              </w:rPr>
              <w:t>каб</w:t>
            </w:r>
            <w:proofErr w:type="spellEnd"/>
            <w:r w:rsidR="00DB5BC6" w:rsidRPr="000B5130">
              <w:rPr>
                <w:sz w:val="24"/>
                <w:szCs w:val="24"/>
                <w:lang w:eastAsia="en-US"/>
              </w:rPr>
              <w:t xml:space="preserve">. 109 </w:t>
            </w:r>
            <w:r w:rsidRPr="000B5130">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D607AE" w:rsidP="00F3026D">
            <w:pPr>
              <w:spacing w:line="276" w:lineRule="auto"/>
              <w:ind w:right="153" w:firstLine="0"/>
              <w:jc w:val="left"/>
              <w:rPr>
                <w:bCs/>
                <w:sz w:val="24"/>
                <w:szCs w:val="24"/>
                <w:shd w:val="clear" w:color="auto" w:fill="FDE9D9"/>
                <w:lang w:eastAsia="en-US"/>
              </w:rPr>
            </w:pPr>
            <w:r w:rsidRPr="00D607AE">
              <w:rPr>
                <w:b/>
                <w:sz w:val="24"/>
                <w:szCs w:val="24"/>
                <w:lang w:eastAsia="en-US"/>
              </w:rPr>
              <w:t xml:space="preserve">Срок  </w:t>
            </w:r>
            <w:proofErr w:type="gramStart"/>
            <w:r w:rsidRPr="00D607AE">
              <w:rPr>
                <w:b/>
                <w:sz w:val="24"/>
                <w:szCs w:val="24"/>
                <w:lang w:eastAsia="en-US"/>
              </w:rPr>
              <w:t>поставки товара выполнения работ /оказания услуг</w:t>
            </w:r>
            <w:proofErr w:type="gramEnd"/>
          </w:p>
        </w:tc>
        <w:tc>
          <w:tcPr>
            <w:tcW w:w="5952" w:type="dxa"/>
          </w:tcPr>
          <w:p w:rsidR="00BC5425" w:rsidRPr="001A2C86" w:rsidRDefault="00FB30F1" w:rsidP="00D607AE">
            <w:pPr>
              <w:tabs>
                <w:tab w:val="left" w:pos="0"/>
                <w:tab w:val="left" w:pos="5657"/>
              </w:tabs>
              <w:spacing w:line="276" w:lineRule="auto"/>
              <w:ind w:left="540" w:right="153" w:hanging="540"/>
              <w:jc w:val="left"/>
              <w:rPr>
                <w:b/>
                <w:i/>
                <w:sz w:val="24"/>
                <w:szCs w:val="24"/>
              </w:rPr>
            </w:pPr>
            <w:r>
              <w:rPr>
                <w:b/>
                <w:sz w:val="24"/>
                <w:szCs w:val="24"/>
                <w:lang w:eastAsia="en-US"/>
              </w:rPr>
              <w:t>Апрель-май</w:t>
            </w:r>
            <w:bookmarkStart w:id="1" w:name="_GoBack"/>
            <w:bookmarkEnd w:id="1"/>
            <w:r w:rsidR="009A5BE1">
              <w:rPr>
                <w:b/>
                <w:sz w:val="24"/>
                <w:szCs w:val="24"/>
                <w:lang w:eastAsia="en-US"/>
              </w:rPr>
              <w:t xml:space="preserve"> </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новой, не бывшей в употреблении (в эксплуатации, в консервации).</w:t>
            </w:r>
          </w:p>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607AE" w:rsidRPr="00D607AE" w:rsidRDefault="00D607AE" w:rsidP="00D607AE">
            <w:pPr>
              <w:tabs>
                <w:tab w:val="left" w:pos="0"/>
                <w:tab w:val="left" w:pos="5657"/>
              </w:tabs>
              <w:spacing w:line="276" w:lineRule="auto"/>
              <w:ind w:left="70" w:right="153" w:firstLine="0"/>
              <w:rPr>
                <w:sz w:val="24"/>
                <w:szCs w:val="24"/>
              </w:rPr>
            </w:pPr>
            <w:r w:rsidRPr="00D607AE">
              <w:rPr>
                <w:sz w:val="24"/>
                <w:szCs w:val="24"/>
              </w:rPr>
              <w:t xml:space="preserve">Качество продукции должно подтверждаться: </w:t>
            </w:r>
          </w:p>
          <w:p w:rsidR="00BC5425" w:rsidRPr="00033237" w:rsidRDefault="00D607AE" w:rsidP="00D607AE">
            <w:pPr>
              <w:tabs>
                <w:tab w:val="left" w:pos="0"/>
                <w:tab w:val="left" w:pos="5657"/>
              </w:tabs>
              <w:spacing w:line="276" w:lineRule="auto"/>
              <w:ind w:left="70" w:right="153" w:firstLine="0"/>
              <w:rPr>
                <w:sz w:val="24"/>
                <w:szCs w:val="24"/>
              </w:rPr>
            </w:pPr>
            <w:r w:rsidRPr="00D607AE">
              <w:rPr>
                <w:sz w:val="24"/>
                <w:szCs w:val="24"/>
              </w:rPr>
              <w:t>паспортом на изделие; сертификатом соответствия, лицензий и другой сопроводительной документацией предприятия-изготовителя.</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A25E0">
        <w:trPr>
          <w:trHeight w:val="383"/>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 xml:space="preserve">Регламент системы экологического менеджмента </w:t>
            </w:r>
            <w:r w:rsidRPr="00033237">
              <w:rPr>
                <w:color w:val="000000"/>
              </w:rPr>
              <w:lastRenderedPageBreak/>
              <w:t>«Правила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lastRenderedPageBreak/>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D607AE">
            <w:pPr>
              <w:pStyle w:val="afffa"/>
              <w:spacing w:line="276" w:lineRule="auto"/>
              <w:ind w:left="70"/>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4A25E0">
      <w:headerReference w:type="default" r:id="rId15"/>
      <w:footerReference w:type="default" r:id="rId16"/>
      <w:pgSz w:w="11906" w:h="16838" w:code="9"/>
      <w:pgMar w:top="426"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87F" w:rsidRDefault="00AD487F">
      <w:r>
        <w:separator/>
      </w:r>
    </w:p>
  </w:endnote>
  <w:endnote w:type="continuationSeparator" w:id="0">
    <w:p w:rsidR="00AD487F" w:rsidRDefault="00AD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B30F1">
          <w:rPr>
            <w:noProof/>
          </w:rPr>
          <w:t>4</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87F" w:rsidRDefault="00AD487F">
      <w:r>
        <w:separator/>
      </w:r>
    </w:p>
  </w:footnote>
  <w:footnote w:type="continuationSeparator" w:id="0">
    <w:p w:rsidR="00AD487F" w:rsidRDefault="00AD4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6E"/>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5E0"/>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7F"/>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EFC"/>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7A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0F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880AD-8DB4-4348-A109-297EFD60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988</Words>
  <Characters>5637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6612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46</cp:revision>
  <cp:lastPrinted>2016-01-19T10:46:00Z</cp:lastPrinted>
  <dcterms:created xsi:type="dcterms:W3CDTF">2015-08-18T13:20:00Z</dcterms:created>
  <dcterms:modified xsi:type="dcterms:W3CDTF">2016-04-08T04:23:00Z</dcterms:modified>
</cp:coreProperties>
</file>