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филиала «Смоленская ГРЭС» ОАО «Э.ОН Россия»</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D009D0">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3C7EBF"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3C7EBF">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009D0">
          <w:rPr>
            <w:webHidden/>
          </w:rPr>
          <w:t>9</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009D0">
          <w:rPr>
            <w:webHidden/>
          </w:rPr>
          <w:t>11</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009D0">
          <w:rPr>
            <w:webHidden/>
          </w:rPr>
          <w:t>13</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009D0">
          <w:rPr>
            <w:webHidden/>
          </w:rPr>
          <w:t>21</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009D0">
          <w:rPr>
            <w:webHidden/>
          </w:rPr>
          <w:t>23</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009D0">
          <w:rPr>
            <w:webHidden/>
          </w:rPr>
          <w:t>25</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009D0">
          <w:rPr>
            <w:webHidden/>
          </w:rPr>
          <w:t>27</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009D0">
          <w:rPr>
            <w:webHidden/>
          </w:rPr>
          <w:t>29</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009D0">
          <w:rPr>
            <w:webHidden/>
          </w:rPr>
          <w:t>33</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009D0">
          <w:rPr>
            <w:webHidden/>
          </w:rPr>
          <w:t>35</w:t>
        </w:r>
        <w:r w:rsidR="00A332E3">
          <w:rPr>
            <w:webHidden/>
          </w:rPr>
          <w:fldChar w:fldCharType="end"/>
        </w:r>
      </w:hyperlink>
    </w:p>
    <w:p w:rsidR="001754E5" w:rsidRDefault="003C7EBF">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009D0">
          <w:rPr>
            <w:webHidden/>
          </w:rPr>
          <w:t>37</w:t>
        </w:r>
        <w:r w:rsidR="00A332E3">
          <w:rPr>
            <w:webHidden/>
          </w:rPr>
          <w:fldChar w:fldCharType="end"/>
        </w:r>
      </w:hyperlink>
    </w:p>
    <w:p w:rsidR="001754E5" w:rsidRDefault="003C7EBF">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009D0">
          <w:rPr>
            <w:webHidden/>
          </w:rPr>
          <w:t>39</w:t>
        </w:r>
        <w:r w:rsidR="00A332E3">
          <w:rPr>
            <w:webHidden/>
          </w:rPr>
          <w:fldChar w:fldCharType="end"/>
        </w:r>
      </w:hyperlink>
    </w:p>
    <w:p w:rsidR="009A2F82" w:rsidRDefault="003C7EBF"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461</w:t>
      </w:r>
      <w:r w:rsidR="00B16006">
        <w:rPr>
          <w:color w:val="000000"/>
          <w:sz w:val="24"/>
          <w:szCs w:val="24"/>
        </w:rPr>
        <w:t>66</w:t>
      </w:r>
      <w:r w:rsidR="00C820F6">
        <w:rPr>
          <w:color w:val="000000"/>
          <w:sz w:val="24"/>
          <w:szCs w:val="24"/>
        </w:rPr>
        <w:t xml:space="preserve">/1 от </w:t>
      </w:r>
      <w:r w:rsidR="00B16006">
        <w:rPr>
          <w:color w:val="000000"/>
          <w:sz w:val="24"/>
          <w:szCs w:val="24"/>
        </w:rPr>
        <w:t>21</w:t>
      </w:r>
      <w:r w:rsidR="00C820F6">
        <w:rPr>
          <w:color w:val="000000"/>
          <w:sz w:val="24"/>
          <w:szCs w:val="24"/>
        </w:rPr>
        <w:t>.0</w:t>
      </w:r>
      <w:r w:rsidR="00B16006">
        <w:rPr>
          <w:color w:val="000000"/>
          <w:sz w:val="24"/>
          <w:szCs w:val="24"/>
        </w:rPr>
        <w:t>4</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B16006">
            <w:pPr>
              <w:autoSpaceDE w:val="0"/>
              <w:autoSpaceDN w:val="0"/>
              <w:adjustRightInd w:val="0"/>
              <w:spacing w:line="276" w:lineRule="auto"/>
              <w:ind w:right="-72" w:firstLine="0"/>
              <w:jc w:val="left"/>
              <w:rPr>
                <w:bCs/>
                <w:sz w:val="24"/>
                <w:szCs w:val="24"/>
              </w:rPr>
            </w:pPr>
            <w:r>
              <w:rPr>
                <w:b/>
                <w:bCs/>
                <w:color w:val="000000"/>
                <w:sz w:val="24"/>
                <w:szCs w:val="24"/>
              </w:rPr>
              <w:t>Выполнение работ по</w:t>
            </w:r>
            <w:r w:rsidR="00B16006">
              <w:rPr>
                <w:b/>
                <w:bCs/>
                <w:color w:val="000000"/>
                <w:sz w:val="24"/>
                <w:szCs w:val="24"/>
              </w:rPr>
              <w:t xml:space="preserve"> </w:t>
            </w:r>
            <w:r w:rsidR="00B16006" w:rsidRPr="00B16006">
              <w:rPr>
                <w:b/>
                <w:color w:val="000000"/>
                <w:sz w:val="24"/>
                <w:szCs w:val="24"/>
              </w:rPr>
              <w:t>ремонту конструкций ОРУ-220 (ремонт бетонных конструкций – опор, стоек, порталов, заделка трещин)</w:t>
            </w:r>
            <w:r w:rsidR="00B0038E" w:rsidRPr="00B16006">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0A17C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0A17C1">
              <w:rPr>
                <w:sz w:val="24"/>
                <w:szCs w:val="24"/>
                <w:lang w:eastAsia="en-US"/>
              </w:rPr>
              <w:t>21</w:t>
            </w:r>
            <w:r w:rsidR="00C820F6">
              <w:rPr>
                <w:sz w:val="24"/>
                <w:szCs w:val="24"/>
                <w:lang w:eastAsia="en-US"/>
              </w:rPr>
              <w:t>.0</w:t>
            </w:r>
            <w:r w:rsidR="000A17C1">
              <w:rPr>
                <w:sz w:val="24"/>
                <w:szCs w:val="24"/>
                <w:lang w:eastAsia="en-US"/>
              </w:rPr>
              <w:t>4</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0A17C1">
              <w:rPr>
                <w:sz w:val="24"/>
                <w:szCs w:val="24"/>
                <w:lang w:eastAsia="en-US"/>
              </w:rPr>
              <w:t>0</w:t>
            </w:r>
            <w:r w:rsidR="0011548E">
              <w:rPr>
                <w:sz w:val="24"/>
                <w:szCs w:val="24"/>
                <w:lang w:eastAsia="en-US"/>
              </w:rPr>
              <w:t>5</w:t>
            </w:r>
            <w:r w:rsidRPr="00F3026D">
              <w:rPr>
                <w:sz w:val="24"/>
                <w:szCs w:val="24"/>
                <w:lang w:eastAsia="en-US"/>
              </w:rPr>
              <w:t>.</w:t>
            </w:r>
            <w:r w:rsidR="00DF7983">
              <w:rPr>
                <w:sz w:val="24"/>
                <w:szCs w:val="24"/>
                <w:lang w:eastAsia="en-US"/>
              </w:rPr>
              <w:t>0</w:t>
            </w:r>
            <w:r w:rsidR="000A17C1">
              <w:rPr>
                <w:sz w:val="24"/>
                <w:szCs w:val="24"/>
                <w:lang w:eastAsia="en-US"/>
              </w:rPr>
              <w:t>5</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0A17C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A17C1">
              <w:rPr>
                <w:sz w:val="24"/>
                <w:szCs w:val="24"/>
                <w:lang w:eastAsia="en-US"/>
              </w:rPr>
              <w:t>К</w:t>
            </w:r>
            <w:r w:rsidR="00AA6C5B">
              <w:rPr>
                <w:sz w:val="24"/>
                <w:szCs w:val="24"/>
                <w:lang w:eastAsia="en-US"/>
              </w:rPr>
              <w:t xml:space="preserve">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r w:rsidR="000A17C1">
              <w:rPr>
                <w:rStyle w:val="af2"/>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0A17C1">
              <w:rPr>
                <w:sz w:val="24"/>
                <w:szCs w:val="24"/>
                <w:lang w:eastAsia="en-US"/>
              </w:rPr>
              <w:t>01</w:t>
            </w:r>
            <w:r>
              <w:rPr>
                <w:sz w:val="24"/>
                <w:szCs w:val="24"/>
                <w:lang w:eastAsia="en-US"/>
              </w:rPr>
              <w:t>.0</w:t>
            </w:r>
            <w:r w:rsidR="000A17C1">
              <w:rPr>
                <w:sz w:val="24"/>
                <w:szCs w:val="24"/>
                <w:lang w:eastAsia="en-US"/>
              </w:rPr>
              <w:t>6</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11548E">
              <w:rPr>
                <w:sz w:val="24"/>
                <w:szCs w:val="24"/>
                <w:lang w:eastAsia="en-US"/>
              </w:rPr>
              <w:t>01</w:t>
            </w:r>
            <w:r>
              <w:rPr>
                <w:sz w:val="24"/>
                <w:szCs w:val="24"/>
                <w:lang w:eastAsia="en-US"/>
              </w:rPr>
              <w:t>.</w:t>
            </w:r>
            <w:r w:rsidR="00D009D0">
              <w:rPr>
                <w:sz w:val="24"/>
                <w:szCs w:val="24"/>
                <w:lang w:eastAsia="en-US"/>
              </w:rPr>
              <w:t>0</w:t>
            </w:r>
            <w:r w:rsidR="0011548E">
              <w:rPr>
                <w:sz w:val="24"/>
                <w:szCs w:val="24"/>
                <w:lang w:eastAsia="en-US"/>
              </w:rPr>
              <w:t>8</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6449D0">
            <w:pPr>
              <w:pStyle w:val="afffa"/>
              <w:numPr>
                <w:ilvl w:val="0"/>
                <w:numId w:val="53"/>
              </w:numPr>
              <w:ind w:left="353" w:hanging="353"/>
              <w:contextualSpacing/>
              <w:jc w:val="both"/>
            </w:pPr>
            <w:r w:rsidRPr="00FD61E5">
              <w:rPr>
                <w:color w:val="000000"/>
              </w:rPr>
              <w:t xml:space="preserve">Регламент системы экологического менеджмента </w:t>
            </w:r>
            <w:r w:rsidRPr="00FD61E5">
              <w:rPr>
                <w:color w:val="000000"/>
              </w:rPr>
              <w:lastRenderedPageBreak/>
              <w:t>«Правила охраны окружающей среды для подрядных организаций и арендаторов» (РО-ПТУ-11).</w:t>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1E78CF">
        <w:rPr>
          <w:color w:val="000000"/>
          <w:sz w:val="24"/>
          <w:szCs w:val="24"/>
        </w:rPr>
        <w:t>66</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1E78CF">
        <w:rPr>
          <w:color w:val="000000"/>
          <w:sz w:val="24"/>
          <w:szCs w:val="24"/>
        </w:rPr>
        <w:t>21</w:t>
      </w:r>
      <w:r w:rsidR="00603F3C">
        <w:rPr>
          <w:color w:val="000000"/>
          <w:sz w:val="24"/>
          <w:szCs w:val="24"/>
        </w:rPr>
        <w:t>.0</w:t>
      </w:r>
      <w:r w:rsidR="001E78CF">
        <w:rPr>
          <w:color w:val="000000"/>
          <w:sz w:val="24"/>
          <w:szCs w:val="24"/>
        </w:rPr>
        <w:t>4</w:t>
      </w:r>
      <w:bookmarkStart w:id="16" w:name="_GoBack"/>
      <w:bookmarkEnd w:id="16"/>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D009D0" w:rsidRPr="00D009D0">
        <w:rPr>
          <w:color w:val="000000"/>
          <w:sz w:val="24"/>
          <w:szCs w:val="24"/>
        </w:rPr>
        <w:t>Техническое предложение  (форма</w:t>
      </w:r>
      <w:r w:rsidR="00D009D0" w:rsidRPr="00D009D0">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D009D0" w:rsidRPr="00CC6391">
        <w:rPr>
          <w:color w:val="000000"/>
          <w:sz w:val="24"/>
          <w:szCs w:val="24"/>
        </w:rPr>
        <w:t xml:space="preserve">График выполнения работ (форма </w:t>
      </w:r>
      <w:r w:rsidR="00D009D0">
        <w:rPr>
          <w:noProof/>
          <w:color w:val="000000"/>
          <w:sz w:val="24"/>
          <w:szCs w:val="24"/>
        </w:rPr>
        <w:t>3</w:t>
      </w:r>
      <w:r w:rsidR="00D009D0"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D009D0" w:rsidRPr="00D009D0">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D009D0" w:rsidRPr="00CC6391">
        <w:rPr>
          <w:color w:val="000000"/>
          <w:sz w:val="24"/>
          <w:szCs w:val="24"/>
        </w:rPr>
        <w:t xml:space="preserve">График платежей (форма </w:t>
      </w:r>
      <w:r w:rsidR="00D009D0">
        <w:rPr>
          <w:color w:val="000000"/>
          <w:sz w:val="24"/>
          <w:szCs w:val="24"/>
        </w:rPr>
        <w:t>5</w:t>
      </w:r>
      <w:r w:rsidR="00D009D0"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D009D0" w:rsidRPr="00D009D0">
        <w:rPr>
          <w:color w:val="000000"/>
          <w:sz w:val="24"/>
          <w:szCs w:val="24"/>
        </w:rPr>
        <w:t xml:space="preserve">План распределения объемов работ между генеральным подрядчиком и субподрядчиками </w:t>
      </w:r>
      <w:r w:rsidR="00D009D0"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D009D0" w:rsidRPr="00D009D0">
        <w:rPr>
          <w:color w:val="000000"/>
          <w:sz w:val="24"/>
          <w:szCs w:val="24"/>
        </w:rPr>
        <w:t xml:space="preserve">Анкета Участника (форма </w:t>
      </w:r>
      <w:r w:rsidR="00D009D0" w:rsidRPr="00D009D0">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D009D0" w:rsidRPr="00D009D0">
        <w:rPr>
          <w:color w:val="000000"/>
          <w:sz w:val="24"/>
          <w:szCs w:val="24"/>
        </w:rPr>
        <w:t xml:space="preserve">Справка о перечне и годовых объемах выполнения аналогичных договоров (форма </w:t>
      </w:r>
      <w:r w:rsidR="00D009D0" w:rsidRPr="00D009D0">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9D0">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BF" w:rsidRDefault="003C7EBF">
      <w:r>
        <w:separator/>
      </w:r>
    </w:p>
  </w:endnote>
  <w:endnote w:type="continuationSeparator" w:id="0">
    <w:p w:rsidR="003C7EBF" w:rsidRDefault="003C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1E78CF">
          <w:rPr>
            <w:noProof/>
          </w:rPr>
          <w:t>42</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BF" w:rsidRDefault="003C7EBF">
      <w:r>
        <w:separator/>
      </w:r>
    </w:p>
  </w:footnote>
  <w:footnote w:type="continuationSeparator" w:id="0">
    <w:p w:rsidR="003C7EBF" w:rsidRDefault="003C7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7C1"/>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48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8CF"/>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C7EBF"/>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3D"/>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53"/>
    <w:rsid w:val="00642CB8"/>
    <w:rsid w:val="00643A88"/>
    <w:rsid w:val="00643AD8"/>
    <w:rsid w:val="00643F16"/>
    <w:rsid w:val="006449D0"/>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006"/>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E351A-265B-480F-ACCA-06BC35A4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42</Pages>
  <Words>7532</Words>
  <Characters>42933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50365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54</cp:revision>
  <cp:lastPrinted>2016-02-29T10:15:00Z</cp:lastPrinted>
  <dcterms:created xsi:type="dcterms:W3CDTF">2015-08-19T08:56:00Z</dcterms:created>
  <dcterms:modified xsi:type="dcterms:W3CDTF">2016-04-21T12:12:00Z</dcterms:modified>
</cp:coreProperties>
</file>