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w:t>
      </w:r>
      <w:r w:rsidR="006E4537">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871F0">
          <w:rPr>
            <w:webHidden/>
          </w:rPr>
          <w:t>3</w:t>
        </w:r>
        <w:r w:rsidR="001F2C0F">
          <w:rPr>
            <w:webHidden/>
          </w:rPr>
          <w:fldChar w:fldCharType="end"/>
        </w:r>
      </w:hyperlink>
    </w:p>
    <w:p w:rsidR="001F2C0F" w:rsidRDefault="00A1740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871F0">
          <w:rPr>
            <w:webHidden/>
          </w:rPr>
          <w:t>7</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871F0">
          <w:rPr>
            <w:webHidden/>
          </w:rPr>
          <w:t>7</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871F0">
          <w:rPr>
            <w:webHidden/>
          </w:rPr>
          <w:t>10</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871F0">
          <w:rPr>
            <w:webHidden/>
          </w:rPr>
          <w:t>13</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871F0">
          <w:rPr>
            <w:webHidden/>
          </w:rPr>
          <w:t>15</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871F0">
          <w:rPr>
            <w:webHidden/>
          </w:rPr>
          <w:t>17</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871F0">
          <w:rPr>
            <w:webHidden/>
          </w:rPr>
          <w:t>21</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871F0">
          <w:rPr>
            <w:webHidden/>
          </w:rPr>
          <w:t>23</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871F0">
          <w:rPr>
            <w:webHidden/>
          </w:rPr>
          <w:t>25</w:t>
        </w:r>
        <w:r w:rsidR="001F2C0F">
          <w:rPr>
            <w:webHidden/>
          </w:rPr>
          <w:fldChar w:fldCharType="end"/>
        </w:r>
      </w:hyperlink>
    </w:p>
    <w:p w:rsidR="001F2C0F" w:rsidRDefault="00A1740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871F0">
          <w:rPr>
            <w:webHidden/>
          </w:rPr>
          <w:t>27</w:t>
        </w:r>
        <w:r w:rsidR="001F2C0F">
          <w:rPr>
            <w:webHidden/>
          </w:rPr>
          <w:fldChar w:fldCharType="end"/>
        </w:r>
      </w:hyperlink>
    </w:p>
    <w:p w:rsidR="001F2C0F" w:rsidRDefault="00A1740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871F0">
          <w:rPr>
            <w:webHidden/>
          </w:rPr>
          <w:t>29</w:t>
        </w:r>
        <w:r w:rsidR="001F2C0F">
          <w:rPr>
            <w:webHidden/>
          </w:rPr>
          <w:fldChar w:fldCharType="end"/>
        </w:r>
      </w:hyperlink>
    </w:p>
    <w:p w:rsidR="001F2C0F" w:rsidRDefault="00A1740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871F0">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C1792C">
        <w:rPr>
          <w:color w:val="000000"/>
          <w:sz w:val="24"/>
          <w:szCs w:val="24"/>
        </w:rPr>
        <w:t xml:space="preserve">№ </w:t>
      </w:r>
      <w:r w:rsidR="00E43B8E">
        <w:rPr>
          <w:color w:val="000000"/>
          <w:sz w:val="24"/>
          <w:szCs w:val="24"/>
        </w:rPr>
        <w:t>8</w:t>
      </w:r>
      <w:r w:rsidR="00F871F0" w:rsidRPr="00F871F0">
        <w:rPr>
          <w:color w:val="000000"/>
          <w:sz w:val="24"/>
          <w:szCs w:val="24"/>
        </w:rPr>
        <w:t>7</w:t>
      </w:r>
      <w:r w:rsidR="00F615D3" w:rsidRPr="00C1792C">
        <w:rPr>
          <w:sz w:val="24"/>
          <w:szCs w:val="24"/>
        </w:rPr>
        <w:t xml:space="preserve"> от </w:t>
      </w:r>
      <w:r w:rsidR="00E43B8E">
        <w:rPr>
          <w:sz w:val="24"/>
          <w:szCs w:val="24"/>
        </w:rPr>
        <w:t>30</w:t>
      </w:r>
      <w:r w:rsidR="00972E7C">
        <w:rPr>
          <w:sz w:val="24"/>
          <w:szCs w:val="24"/>
        </w:rPr>
        <w:t>.0</w:t>
      </w:r>
      <w:r w:rsidR="00E43B8E">
        <w:rPr>
          <w:sz w:val="24"/>
          <w:szCs w:val="24"/>
        </w:rPr>
        <w:t>5</w:t>
      </w:r>
      <w:r w:rsidR="00F615D3" w:rsidRPr="00C1792C">
        <w:rPr>
          <w:sz w:val="24"/>
          <w:szCs w:val="24"/>
        </w:rPr>
        <w:t>.201</w:t>
      </w:r>
      <w:r w:rsidR="000C1156" w:rsidRPr="00C1792C">
        <w:rPr>
          <w:sz w:val="24"/>
          <w:szCs w:val="24"/>
        </w:rPr>
        <w:t>6</w:t>
      </w:r>
      <w:r w:rsidR="00F615D3" w:rsidRPr="00C1792C">
        <w:rPr>
          <w:sz w:val="24"/>
          <w:szCs w:val="24"/>
        </w:rPr>
        <w:t xml:space="preserve"> г.</w:t>
      </w:r>
      <w:r w:rsidRPr="00C1792C">
        <w:rPr>
          <w:color w:val="000000"/>
          <w:sz w:val="24"/>
          <w:szCs w:val="24"/>
        </w:rPr>
        <w:t>,</w:t>
      </w:r>
      <w:r w:rsidRPr="00C1792C">
        <w:rPr>
          <w:sz w:val="24"/>
          <w:szCs w:val="24"/>
        </w:rPr>
        <w:t xml:space="preserve"> в</w:t>
      </w:r>
      <w:r w:rsidRPr="004747FE">
        <w:rPr>
          <w:sz w:val="24"/>
          <w:szCs w:val="24"/>
        </w:rPr>
        <w:t xml:space="preserve">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F871F0" w:rsidRDefault="00EA7394" w:rsidP="00F871F0">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F871F0">
              <w:rPr>
                <w:b/>
                <w:color w:val="000000"/>
                <w:sz w:val="24"/>
                <w:szCs w:val="24"/>
              </w:rPr>
              <w:t>трубной продукции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E43B8E">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E43B8E">
              <w:rPr>
                <w:sz w:val="24"/>
                <w:szCs w:val="24"/>
                <w:lang w:eastAsia="en-US"/>
              </w:rPr>
              <w:t>30</w:t>
            </w:r>
            <w:r w:rsidR="000C1156" w:rsidRPr="00C1792C">
              <w:rPr>
                <w:sz w:val="24"/>
                <w:szCs w:val="24"/>
                <w:lang w:eastAsia="en-US"/>
              </w:rPr>
              <w:t>.</w:t>
            </w:r>
            <w:r w:rsidR="00972E7C">
              <w:rPr>
                <w:sz w:val="24"/>
                <w:szCs w:val="24"/>
                <w:lang w:eastAsia="en-US"/>
              </w:rPr>
              <w:t>0</w:t>
            </w:r>
            <w:r w:rsidR="00E43B8E">
              <w:rPr>
                <w:sz w:val="24"/>
                <w:szCs w:val="24"/>
                <w:lang w:eastAsia="en-US"/>
              </w:rPr>
              <w:t>5</w:t>
            </w:r>
            <w:r w:rsidR="0046573B" w:rsidRPr="00C1792C">
              <w:rPr>
                <w:sz w:val="24"/>
                <w:szCs w:val="24"/>
                <w:lang w:eastAsia="en-US"/>
              </w:rPr>
              <w:t>.201</w:t>
            </w:r>
            <w:r w:rsidR="000C1156" w:rsidRPr="00C1792C">
              <w:rPr>
                <w:sz w:val="24"/>
                <w:szCs w:val="24"/>
                <w:lang w:eastAsia="en-US"/>
              </w:rPr>
              <w:t>6</w:t>
            </w:r>
            <w:r w:rsidR="0046573B" w:rsidRPr="00C1792C">
              <w:rPr>
                <w:sz w:val="24"/>
                <w:szCs w:val="24"/>
                <w:lang w:eastAsia="en-US"/>
              </w:rPr>
              <w:t xml:space="preserve">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E43B8E" w:rsidRDefault="00BC5425" w:rsidP="00F3026D">
            <w:pPr>
              <w:spacing w:line="276" w:lineRule="auto"/>
              <w:ind w:right="153" w:firstLine="0"/>
              <w:jc w:val="left"/>
              <w:rPr>
                <w:sz w:val="24"/>
                <w:szCs w:val="24"/>
                <w:lang w:eastAsia="en-US"/>
              </w:rPr>
            </w:pPr>
            <w:r w:rsidRPr="00E43B8E">
              <w:rPr>
                <w:b/>
                <w:sz w:val="24"/>
                <w:szCs w:val="24"/>
                <w:lang w:eastAsia="en-US"/>
              </w:rPr>
              <w:t>Дата окончания приема Предложения*:</w:t>
            </w:r>
            <w:r w:rsidRPr="00E43B8E">
              <w:rPr>
                <w:sz w:val="24"/>
                <w:szCs w:val="24"/>
                <w:lang w:eastAsia="en-US"/>
              </w:rPr>
              <w:t xml:space="preserve">                                        </w:t>
            </w:r>
            <w:r w:rsidR="00E43B8E" w:rsidRPr="00E43B8E">
              <w:rPr>
                <w:b/>
                <w:color w:val="000000"/>
                <w:sz w:val="24"/>
                <w:szCs w:val="24"/>
              </w:rPr>
              <w:t>д</w:t>
            </w:r>
            <w:r w:rsidR="00E43B8E" w:rsidRPr="00E43B8E">
              <w:rPr>
                <w:b/>
                <w:bCs/>
                <w:sz w:val="24"/>
                <w:szCs w:val="24"/>
              </w:rPr>
              <w:t xml:space="preserve">о 16:00 часов  </w:t>
            </w:r>
            <w:r w:rsidR="00F871F0">
              <w:rPr>
                <w:b/>
                <w:bCs/>
                <w:sz w:val="24"/>
                <w:szCs w:val="24"/>
              </w:rPr>
              <w:t>08</w:t>
            </w:r>
            <w:r w:rsidR="00E43B8E" w:rsidRPr="00E43B8E">
              <w:rPr>
                <w:b/>
                <w:bCs/>
                <w:sz w:val="24"/>
                <w:szCs w:val="24"/>
              </w:rPr>
              <w:t>.06.2016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C1792C"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BC5425"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B056F9">
                <w:rPr>
                  <w:rStyle w:val="af2"/>
                  <w:sz w:val="24"/>
                  <w:szCs w:val="24"/>
                  <w:lang w:val="en-US" w:eastAsia="en-US"/>
                </w:rPr>
                <w:t>Titarenko</w:t>
              </w:r>
              <w:r w:rsidRPr="00B056F9">
                <w:rPr>
                  <w:rStyle w:val="af2"/>
                  <w:sz w:val="24"/>
                  <w:szCs w:val="24"/>
                  <w:lang w:eastAsia="en-US"/>
                </w:rPr>
                <w:t>_</w:t>
              </w:r>
              <w:r w:rsidRPr="00B056F9">
                <w:rPr>
                  <w:rStyle w:val="af2"/>
                  <w:sz w:val="24"/>
                  <w:szCs w:val="24"/>
                  <w:lang w:val="en-US" w:eastAsia="en-US"/>
                </w:rPr>
                <w:t>N</w:t>
              </w:r>
              <w:r w:rsidRPr="00B056F9">
                <w:rPr>
                  <w:rStyle w:val="af2"/>
                  <w:sz w:val="24"/>
                  <w:szCs w:val="24"/>
                  <w:lang w:eastAsia="en-US"/>
                </w:rPr>
                <w:t>@</w:t>
              </w:r>
              <w:r w:rsidRPr="00B056F9">
                <w:rPr>
                  <w:rStyle w:val="af2"/>
                  <w:sz w:val="24"/>
                  <w:szCs w:val="24"/>
                  <w:lang w:val="en-US" w:eastAsia="en-US"/>
                </w:rPr>
                <w:t>eon</w:t>
              </w:r>
              <w:r w:rsidRPr="00B056F9">
                <w:rPr>
                  <w:rStyle w:val="af2"/>
                  <w:sz w:val="24"/>
                  <w:szCs w:val="24"/>
                  <w:lang w:eastAsia="en-US"/>
                </w:rPr>
                <w:t>-</w:t>
              </w:r>
              <w:r w:rsidRPr="00B056F9">
                <w:rPr>
                  <w:rStyle w:val="af2"/>
                  <w:sz w:val="24"/>
                  <w:szCs w:val="24"/>
                  <w:lang w:val="en-US" w:eastAsia="en-US"/>
                </w:rPr>
                <w:t>russia</w:t>
              </w:r>
              <w:r w:rsidRPr="00B056F9">
                <w:rPr>
                  <w:rStyle w:val="af2"/>
                  <w:sz w:val="24"/>
                  <w:szCs w:val="24"/>
                  <w:lang w:eastAsia="en-US"/>
                </w:rPr>
                <w:t>.</w:t>
              </w:r>
              <w:proofErr w:type="spellStart"/>
              <w:r w:rsidRPr="00B056F9">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D252E9">
            <w:pPr>
              <w:tabs>
                <w:tab w:val="left" w:pos="0"/>
                <w:tab w:val="left" w:pos="5657"/>
              </w:tabs>
              <w:spacing w:line="276" w:lineRule="auto"/>
              <w:ind w:left="540" w:right="153" w:hanging="540"/>
              <w:jc w:val="left"/>
              <w:rPr>
                <w:i/>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C1792C" w:rsidRPr="00D252E9" w:rsidRDefault="00C1792C" w:rsidP="00D252E9">
            <w:pPr>
              <w:tabs>
                <w:tab w:val="left" w:pos="0"/>
                <w:tab w:val="left" w:pos="5657"/>
              </w:tabs>
              <w:spacing w:line="276" w:lineRule="auto"/>
              <w:ind w:left="540" w:right="153" w:hanging="540"/>
              <w:jc w:val="left"/>
              <w:rPr>
                <w:sz w:val="24"/>
                <w:szCs w:val="24"/>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D252E9" w:rsidRDefault="00972E7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один</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w:t>
            </w:r>
            <w:r w:rsidR="00C1792C">
              <w:rPr>
                <w:sz w:val="24"/>
                <w:szCs w:val="24"/>
              </w:rPr>
              <w:t>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724DA3" w:rsidRPr="00724DA3"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974867" w:rsidRPr="006E4537" w:rsidRDefault="00974867" w:rsidP="004747FE">
            <w:pPr>
              <w:pStyle w:val="Times12"/>
              <w:tabs>
                <w:tab w:val="left" w:pos="0"/>
                <w:tab w:val="left" w:pos="1140"/>
              </w:tabs>
              <w:spacing w:line="276" w:lineRule="auto"/>
              <w:ind w:right="153" w:firstLine="0"/>
              <w:rPr>
                <w:b/>
                <w:szCs w:val="24"/>
              </w:rPr>
            </w:pPr>
            <w:r w:rsidRPr="00C1792C">
              <w:rPr>
                <w:b/>
                <w:szCs w:val="24"/>
                <w:lang w:eastAsia="en-US"/>
              </w:rPr>
              <w:t>Место/адрес приема предложений:</w:t>
            </w:r>
            <w:r w:rsidRPr="00C1792C">
              <w:rPr>
                <w:b/>
                <w:szCs w:val="24"/>
              </w:rPr>
              <w:t xml:space="preserve"> </w:t>
            </w:r>
          </w:p>
          <w:p w:rsidR="003E7391" w:rsidRPr="00C1792C" w:rsidRDefault="004747FE" w:rsidP="004747FE">
            <w:pPr>
              <w:pStyle w:val="Times12"/>
              <w:tabs>
                <w:tab w:val="left" w:pos="0"/>
                <w:tab w:val="left" w:pos="1140"/>
              </w:tabs>
              <w:spacing w:line="276" w:lineRule="auto"/>
              <w:ind w:right="153" w:firstLine="0"/>
              <w:rPr>
                <w:szCs w:val="24"/>
              </w:rPr>
            </w:pPr>
            <w:r w:rsidRPr="00C1792C">
              <w:rPr>
                <w:color w:val="000000"/>
                <w:szCs w:val="24"/>
              </w:rPr>
              <w:t xml:space="preserve">– </w:t>
            </w:r>
            <w:hyperlink r:id="rId13" w:history="1">
              <w:hyperlink r:id="rId14" w:history="1">
                <w:r w:rsidR="00595792" w:rsidRPr="00C1792C">
                  <w:rPr>
                    <w:rStyle w:val="af2"/>
                    <w:szCs w:val="24"/>
                    <w:lang w:val="en-US" w:eastAsia="en-US"/>
                  </w:rPr>
                  <w:t>Titarenko</w:t>
                </w:r>
                <w:r w:rsidR="00595792" w:rsidRPr="00C1792C">
                  <w:rPr>
                    <w:rStyle w:val="af2"/>
                    <w:szCs w:val="24"/>
                    <w:lang w:eastAsia="en-US"/>
                  </w:rPr>
                  <w:t>_</w:t>
                </w:r>
                <w:r w:rsidR="00595792" w:rsidRPr="00C1792C">
                  <w:rPr>
                    <w:rStyle w:val="af2"/>
                    <w:szCs w:val="24"/>
                    <w:lang w:val="en-US" w:eastAsia="en-US"/>
                  </w:rPr>
                  <w:t>N</w:t>
                </w:r>
                <w:r w:rsidR="00595792" w:rsidRPr="00C1792C">
                  <w:rPr>
                    <w:rStyle w:val="af2"/>
                    <w:szCs w:val="24"/>
                    <w:lang w:eastAsia="en-US"/>
                  </w:rPr>
                  <w:t>@</w:t>
                </w:r>
                <w:r w:rsidR="00595792" w:rsidRPr="00C1792C">
                  <w:rPr>
                    <w:rStyle w:val="af2"/>
                    <w:szCs w:val="24"/>
                    <w:lang w:val="en-US" w:eastAsia="en-US"/>
                  </w:rPr>
                  <w:t>eon</w:t>
                </w:r>
                <w:r w:rsidR="00595792" w:rsidRPr="00C1792C">
                  <w:rPr>
                    <w:rStyle w:val="af2"/>
                    <w:szCs w:val="24"/>
                    <w:lang w:eastAsia="en-US"/>
                  </w:rPr>
                  <w:t>-</w:t>
                </w:r>
                <w:r w:rsidR="00595792" w:rsidRPr="00C1792C">
                  <w:rPr>
                    <w:rStyle w:val="af2"/>
                    <w:szCs w:val="24"/>
                    <w:lang w:val="en-US" w:eastAsia="en-US"/>
                  </w:rPr>
                  <w:t>russia</w:t>
                </w:r>
                <w:r w:rsidR="00595792" w:rsidRPr="00C1792C">
                  <w:rPr>
                    <w:rStyle w:val="af2"/>
                    <w:szCs w:val="24"/>
                    <w:lang w:eastAsia="en-US"/>
                  </w:rPr>
                  <w:t>.</w:t>
                </w:r>
                <w:r w:rsidR="00595792" w:rsidRPr="00C1792C">
                  <w:rPr>
                    <w:rStyle w:val="af2"/>
                    <w:szCs w:val="24"/>
                    <w:lang w:val="en-US" w:eastAsia="en-US"/>
                  </w:rPr>
                  <w:t>ru</w:t>
                </w:r>
              </w:hyperlink>
            </w:hyperlink>
          </w:p>
          <w:p w:rsidR="006E4537" w:rsidRPr="006E4537" w:rsidRDefault="006E4537" w:rsidP="006E4537">
            <w:pPr>
              <w:pStyle w:val="Times12"/>
              <w:numPr>
                <w:ilvl w:val="0"/>
                <w:numId w:val="38"/>
              </w:numPr>
              <w:tabs>
                <w:tab w:val="left" w:pos="0"/>
                <w:tab w:val="left" w:pos="1140"/>
              </w:tabs>
              <w:spacing w:line="276" w:lineRule="auto"/>
              <w:ind w:right="153"/>
              <w:rPr>
                <w:sz w:val="22"/>
              </w:rPr>
            </w:pPr>
            <w:r w:rsidRPr="00766590">
              <w:rPr>
                <w:sz w:val="22"/>
              </w:rPr>
              <w:t>«</w:t>
            </w:r>
            <w:r>
              <w:rPr>
                <w:sz w:val="22"/>
              </w:rPr>
              <w:t>Технико-коммерческое п</w:t>
            </w:r>
            <w:r w:rsidRPr="00766590">
              <w:rPr>
                <w:sz w:val="22"/>
              </w:rPr>
              <w:t>редложение</w:t>
            </w:r>
            <w:r>
              <w:rPr>
                <w:sz w:val="22"/>
              </w:rPr>
              <w:t xml:space="preserve">» в сканированном </w:t>
            </w:r>
            <w:proofErr w:type="gramStart"/>
            <w:r>
              <w:rPr>
                <w:sz w:val="22"/>
              </w:rPr>
              <w:t>виде</w:t>
            </w:r>
            <w:proofErr w:type="gramEnd"/>
            <w:r w:rsidR="00972E7C">
              <w:rPr>
                <w:sz w:val="22"/>
              </w:rPr>
              <w:t>.</w:t>
            </w:r>
          </w:p>
          <w:p w:rsidR="006E4537" w:rsidRPr="006E4537" w:rsidRDefault="006E4537" w:rsidP="006E4537">
            <w:pPr>
              <w:pStyle w:val="Times12"/>
              <w:numPr>
                <w:ilvl w:val="0"/>
                <w:numId w:val="38"/>
              </w:numPr>
              <w:tabs>
                <w:tab w:val="left" w:pos="0"/>
                <w:tab w:val="left" w:pos="1140"/>
              </w:tabs>
              <w:ind w:right="153"/>
              <w:rPr>
                <w:sz w:val="22"/>
              </w:rPr>
            </w:pPr>
            <w:r w:rsidRPr="00766590">
              <w:rPr>
                <w:sz w:val="22"/>
              </w:rPr>
              <w:t>«</w:t>
            </w:r>
            <w:r>
              <w:rPr>
                <w:sz w:val="22"/>
              </w:rPr>
              <w:t>Технико-коммерческое предложени</w:t>
            </w:r>
            <w:r w:rsidRPr="00766590">
              <w:rPr>
                <w:sz w:val="22"/>
              </w:rPr>
              <w:t>е</w:t>
            </w:r>
            <w:r>
              <w:rPr>
                <w:sz w:val="22"/>
              </w:rPr>
              <w:t>»</w:t>
            </w:r>
            <w:r w:rsidR="00674CF5">
              <w:rPr>
                <w:sz w:val="22"/>
              </w:rPr>
              <w:t xml:space="preserve"> </w:t>
            </w:r>
            <w:r w:rsidRPr="004747FE">
              <w:rPr>
                <w:b/>
                <w:color w:val="000000"/>
                <w:szCs w:val="24"/>
              </w:rPr>
              <w:t xml:space="preserve">в </w:t>
            </w:r>
            <w:proofErr w:type="gramStart"/>
            <w:r w:rsidRPr="004747FE">
              <w:rPr>
                <w:b/>
                <w:color w:val="000000"/>
                <w:szCs w:val="24"/>
              </w:rPr>
              <w:t>формате</w:t>
            </w:r>
            <w:proofErr w:type="gramEnd"/>
            <w:r w:rsidRPr="004747FE">
              <w:rPr>
                <w:b/>
                <w:color w:val="000000"/>
                <w:szCs w:val="24"/>
              </w:rPr>
              <w:t xml:space="preserve"> </w:t>
            </w:r>
            <w:r w:rsidRPr="004747FE">
              <w:rPr>
                <w:b/>
                <w:color w:val="000000"/>
                <w:szCs w:val="24"/>
                <w:lang w:val="en-US"/>
              </w:rPr>
              <w:t>Word</w:t>
            </w:r>
            <w:r>
              <w:rPr>
                <w:b/>
                <w:color w:val="000000"/>
                <w:szCs w:val="24"/>
              </w:rPr>
              <w:t>.</w:t>
            </w:r>
          </w:p>
          <w:p w:rsidR="000E2038" w:rsidRPr="008D131F" w:rsidRDefault="000E2038" w:rsidP="000E2038">
            <w:pPr>
              <w:pStyle w:val="Times12"/>
              <w:tabs>
                <w:tab w:val="left" w:pos="0"/>
                <w:tab w:val="left" w:pos="1140"/>
              </w:tabs>
              <w:ind w:right="153" w:firstLine="0"/>
              <w:rPr>
                <w:szCs w:val="24"/>
              </w:rPr>
            </w:pPr>
            <w:r w:rsidRPr="008D131F">
              <w:rPr>
                <w:b/>
                <w:szCs w:val="24"/>
              </w:rPr>
              <w:t xml:space="preserve">Требования к оформлению </w:t>
            </w:r>
            <w:proofErr w:type="gramStart"/>
            <w:r w:rsidRPr="008D131F">
              <w:rPr>
                <w:b/>
                <w:szCs w:val="24"/>
              </w:rPr>
              <w:t>скан-копий</w:t>
            </w:r>
            <w:proofErr w:type="gramEnd"/>
            <w:r w:rsidRPr="008D131F">
              <w:rPr>
                <w:szCs w:val="24"/>
              </w:rPr>
              <w:t>:</w:t>
            </w:r>
          </w:p>
          <w:p w:rsidR="000E2038" w:rsidRPr="000E2038" w:rsidRDefault="000E2038" w:rsidP="000E2038">
            <w:pPr>
              <w:pStyle w:val="afff9"/>
              <w:numPr>
                <w:ilvl w:val="0"/>
                <w:numId w:val="35"/>
              </w:numPr>
              <w:ind w:left="353" w:hanging="353"/>
              <w:contextualSpacing/>
              <w:rPr>
                <w:b/>
                <w:i/>
              </w:rPr>
            </w:pPr>
            <w:r w:rsidRPr="000E2038">
              <w:rPr>
                <w:b/>
                <w:i/>
              </w:rPr>
              <w:t xml:space="preserve">формат файлов </w:t>
            </w:r>
            <w:r w:rsidRPr="000E2038">
              <w:rPr>
                <w:b/>
                <w:i/>
                <w:lang w:val="en-US"/>
              </w:rPr>
              <w:t>PDF</w:t>
            </w:r>
            <w:r w:rsidRPr="000E2038">
              <w:rPr>
                <w:b/>
                <w:i/>
              </w:rPr>
              <w:t xml:space="preserve"> (архивирование не допускается);</w:t>
            </w:r>
          </w:p>
          <w:p w:rsidR="000E2038" w:rsidRPr="008D131F" w:rsidRDefault="000E2038" w:rsidP="000E2038">
            <w:pPr>
              <w:pStyle w:val="afff9"/>
              <w:numPr>
                <w:ilvl w:val="0"/>
                <w:numId w:val="35"/>
              </w:numPr>
              <w:ind w:left="353" w:hanging="353"/>
              <w:contextualSpacing/>
              <w:jc w:val="both"/>
              <w:rPr>
                <w:i/>
              </w:rPr>
            </w:pPr>
            <w:r w:rsidRPr="008D131F">
              <w:rPr>
                <w:i/>
              </w:rPr>
              <w:t xml:space="preserve">каждый вид документа должен быть поименован в соответствии с содержимым (например, </w:t>
            </w:r>
            <w:r>
              <w:rPr>
                <w:i/>
              </w:rPr>
              <w:t>Письмо о подаче оферты (форма №1)</w:t>
            </w:r>
            <w:r w:rsidRPr="008D131F">
              <w:rPr>
                <w:i/>
              </w:rPr>
              <w:t>.</w:t>
            </w:r>
            <w:proofErr w:type="spellStart"/>
            <w:r w:rsidRPr="008D131F">
              <w:rPr>
                <w:i/>
                <w:lang w:val="en-US"/>
              </w:rPr>
              <w:t>pdf</w:t>
            </w:r>
            <w:proofErr w:type="spellEnd"/>
            <w:proofErr w:type="gramStart"/>
            <w:r>
              <w:rPr>
                <w:i/>
              </w:rPr>
              <w:t xml:space="preserve"> </w:t>
            </w:r>
            <w:r w:rsidRPr="008D131F">
              <w:rPr>
                <w:i/>
              </w:rPr>
              <w:t>)</w:t>
            </w:r>
            <w:proofErr w:type="gramEnd"/>
            <w:r w:rsidRPr="008D131F">
              <w:rPr>
                <w:i/>
              </w:rPr>
              <w:t xml:space="preserve">; </w:t>
            </w:r>
          </w:p>
          <w:p w:rsidR="00E044C1" w:rsidRPr="00C1792C" w:rsidRDefault="000E2038" w:rsidP="000E2038">
            <w:pPr>
              <w:pStyle w:val="afff9"/>
              <w:numPr>
                <w:ilvl w:val="0"/>
                <w:numId w:val="35"/>
              </w:numPr>
              <w:ind w:left="353" w:hanging="353"/>
              <w:contextualSpacing/>
              <w:jc w:val="both"/>
              <w:rPr>
                <w:i/>
              </w:rPr>
            </w:pPr>
            <w:r w:rsidRPr="008D131F">
              <w:rPr>
                <w:i/>
              </w:rPr>
              <w:t xml:space="preserve">размер одного </w:t>
            </w:r>
            <w:r>
              <w:rPr>
                <w:i/>
              </w:rPr>
              <w:t>файла не должен превышать 10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974867">
              <w:rPr>
                <w:b/>
                <w:sz w:val="24"/>
                <w:szCs w:val="24"/>
                <w:lang w:val="en-US"/>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974867">
            <w:pPr>
              <w:spacing w:line="276" w:lineRule="auto"/>
              <w:ind w:left="568" w:hanging="568"/>
              <w:jc w:val="left"/>
              <w:rPr>
                <w:b/>
                <w:sz w:val="24"/>
                <w:szCs w:val="24"/>
              </w:rPr>
            </w:pPr>
            <w:r w:rsidRPr="004747FE">
              <w:rPr>
                <w:b/>
                <w:sz w:val="24"/>
                <w:szCs w:val="24"/>
              </w:rPr>
              <w:t>1</w:t>
            </w:r>
            <w:r w:rsidR="00974867">
              <w:rPr>
                <w:b/>
                <w:sz w:val="24"/>
                <w:szCs w:val="24"/>
                <w:lang w:val="en-US"/>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974867" w:rsidP="00974867">
            <w:pPr>
              <w:spacing w:line="276" w:lineRule="auto"/>
              <w:ind w:left="568" w:hanging="568"/>
              <w:jc w:val="left"/>
              <w:rPr>
                <w:b/>
                <w:sz w:val="24"/>
                <w:szCs w:val="24"/>
              </w:rPr>
            </w:pPr>
            <w:r>
              <w:rPr>
                <w:b/>
                <w:sz w:val="24"/>
                <w:szCs w:val="24"/>
                <w:lang w:val="en-US"/>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C1792C" w:rsidRPr="00C1792C" w:rsidRDefault="00C1792C" w:rsidP="00C1792C">
            <w:pPr>
              <w:autoSpaceDE w:val="0"/>
              <w:autoSpaceDN w:val="0"/>
              <w:adjustRightInd w:val="0"/>
              <w:spacing w:line="276" w:lineRule="auto"/>
              <w:ind w:firstLine="0"/>
              <w:rPr>
                <w:sz w:val="22"/>
                <w:szCs w:val="22"/>
              </w:rPr>
            </w:pPr>
            <w:r w:rsidRPr="00C1792C">
              <w:rPr>
                <w:sz w:val="22"/>
                <w:szCs w:val="22"/>
              </w:rPr>
              <w:t xml:space="preserve">  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ОАО «Э.ОН Россия».</w:t>
            </w:r>
          </w:p>
          <w:p w:rsidR="00C1792C" w:rsidRDefault="00C1792C" w:rsidP="00C1792C">
            <w:pPr>
              <w:autoSpaceDE w:val="0"/>
              <w:autoSpaceDN w:val="0"/>
              <w:adjustRightInd w:val="0"/>
              <w:spacing w:line="276" w:lineRule="auto"/>
              <w:ind w:firstLine="0"/>
              <w:rPr>
                <w:sz w:val="22"/>
                <w:szCs w:val="22"/>
              </w:rPr>
            </w:pPr>
            <w:r w:rsidRPr="00C1792C">
              <w:rPr>
                <w:bCs/>
                <w:sz w:val="22"/>
                <w:szCs w:val="22"/>
              </w:rPr>
              <w:lastRenderedPageBreak/>
              <w:t xml:space="preserve">        Все Участники запроса предложений должны быть аккредитованы в Базе поставщиков</w:t>
            </w:r>
            <w:r w:rsidRPr="00C1792C">
              <w:rPr>
                <w:sz w:val="22"/>
                <w:szCs w:val="22"/>
              </w:rPr>
              <w:t xml:space="preserve"> ОАО «Э.ОН Россия». Информация о порядке аккредитации </w:t>
            </w:r>
            <w:proofErr w:type="gramStart"/>
            <w:r w:rsidRPr="00C1792C">
              <w:rPr>
                <w:sz w:val="22"/>
                <w:szCs w:val="22"/>
              </w:rPr>
              <w:t>содержится на официальном сайте компании и доступна</w:t>
            </w:r>
            <w:proofErr w:type="gramEnd"/>
            <w:r w:rsidRPr="00C1792C">
              <w:rPr>
                <w:sz w:val="22"/>
                <w:szCs w:val="22"/>
              </w:rPr>
              <w:t xml:space="preserve"> по  ссылке</w:t>
            </w:r>
            <w:r w:rsidRPr="00897E71">
              <w:rPr>
                <w:color w:val="365F91" w:themeColor="accent1" w:themeShade="BF"/>
                <w:sz w:val="22"/>
                <w:szCs w:val="22"/>
              </w:rPr>
              <w:t>:</w:t>
            </w:r>
            <w:r w:rsidRPr="00897E71">
              <w:rPr>
                <w:color w:val="000000"/>
                <w:sz w:val="22"/>
                <w:szCs w:val="22"/>
              </w:rPr>
              <w:t xml:space="preserve"> </w:t>
            </w:r>
            <w:hyperlink r:id="rId16" w:history="1">
              <w:r w:rsidRPr="00897E71">
                <w:rPr>
                  <w:rStyle w:val="af2"/>
                  <w:sz w:val="22"/>
                  <w:szCs w:val="22"/>
                </w:rPr>
                <w:t>http://www.eon-russia.ru/purchase/accreditation/</w:t>
              </w:r>
            </w:hyperlink>
          </w:p>
          <w:p w:rsidR="00BC5425" w:rsidRPr="004747FE" w:rsidRDefault="00BC5425"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bookmarkStart w:id="4" w:name="_GoBack"/>
      <w:bookmarkEnd w:id="4"/>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871F0" w:rsidRPr="001F2C0F">
        <w:rPr>
          <w:color w:val="000000"/>
          <w:sz w:val="24"/>
          <w:szCs w:val="24"/>
        </w:rPr>
        <w:t>График поставки товара  (форма</w:t>
      </w:r>
      <w:r w:rsidR="00F871F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871F0" w:rsidRPr="00F871F0">
        <w:rPr>
          <w:color w:val="000000"/>
          <w:sz w:val="24"/>
          <w:szCs w:val="24"/>
        </w:rPr>
        <w:t>Анкета Участника (форма 5</w:t>
      </w:r>
      <w:r w:rsidR="00F871F0" w:rsidRPr="00F871F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871F0" w:rsidRPr="00F871F0">
        <w:rPr>
          <w:color w:val="000000"/>
          <w:sz w:val="24"/>
          <w:szCs w:val="24"/>
        </w:rPr>
        <w:t>Справка о перечне и годовых объемах выполнения аналогичных договоров (форма 6</w:t>
      </w:r>
      <w:r w:rsidR="00F871F0" w:rsidRPr="00F871F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871F0">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871F0">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400" w:rsidRDefault="00A17400">
      <w:r>
        <w:separator/>
      </w:r>
    </w:p>
  </w:endnote>
  <w:endnote w:type="continuationSeparator" w:id="0">
    <w:p w:rsidR="00A17400" w:rsidRDefault="00A1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E4537" w:rsidRDefault="006E4537">
        <w:pPr>
          <w:pStyle w:val="af0"/>
          <w:jc w:val="right"/>
        </w:pPr>
        <w:r>
          <w:fldChar w:fldCharType="begin"/>
        </w:r>
        <w:r>
          <w:instrText xml:space="preserve"> PAGE   \* MERGEFORMAT </w:instrText>
        </w:r>
        <w:r>
          <w:fldChar w:fldCharType="separate"/>
        </w:r>
        <w:r w:rsidR="00F871F0">
          <w:rPr>
            <w:noProof/>
          </w:rPr>
          <w:t>2</w:t>
        </w:r>
        <w:r>
          <w:rPr>
            <w:noProof/>
          </w:rPr>
          <w:fldChar w:fldCharType="end"/>
        </w:r>
      </w:p>
    </w:sdtContent>
  </w:sdt>
  <w:p w:rsidR="006E4537" w:rsidRDefault="006E45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400" w:rsidRDefault="00A17400">
      <w:r>
        <w:separator/>
      </w:r>
    </w:p>
  </w:footnote>
  <w:footnote w:type="continuationSeparator" w:id="0">
    <w:p w:rsidR="00A17400" w:rsidRDefault="00A17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37" w:rsidRPr="00F01080" w:rsidRDefault="006E453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3031444"/>
    <w:multiLevelType w:val="hybridMultilevel"/>
    <w:tmpl w:val="95DA705A"/>
    <w:lvl w:ilvl="0" w:tplc="E6D2C164">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15"/>
  </w:num>
  <w:num w:numId="37">
    <w:abstractNumId w:val="31"/>
  </w:num>
  <w:num w:numId="3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FD3"/>
    <w:rsid w:val="000B3178"/>
    <w:rsid w:val="000B4A04"/>
    <w:rsid w:val="000B5851"/>
    <w:rsid w:val="000B5D47"/>
    <w:rsid w:val="000B60AE"/>
    <w:rsid w:val="000B6798"/>
    <w:rsid w:val="000B6AC2"/>
    <w:rsid w:val="000C0A09"/>
    <w:rsid w:val="000C0F02"/>
    <w:rsid w:val="000C1156"/>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38"/>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54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6EF3"/>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3"/>
    <w:rsid w:val="00295DBD"/>
    <w:rsid w:val="00296034"/>
    <w:rsid w:val="00296412"/>
    <w:rsid w:val="0029724E"/>
    <w:rsid w:val="00297A47"/>
    <w:rsid w:val="00297B68"/>
    <w:rsid w:val="002A073E"/>
    <w:rsid w:val="002A211A"/>
    <w:rsid w:val="002A2ADD"/>
    <w:rsid w:val="002A3078"/>
    <w:rsid w:val="002A3CF6"/>
    <w:rsid w:val="002A3D31"/>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12"/>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916"/>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C5F"/>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594"/>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4DE6"/>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CF5"/>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53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DA3"/>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6F9"/>
    <w:rsid w:val="007C3F4F"/>
    <w:rsid w:val="007C44CD"/>
    <w:rsid w:val="007C4723"/>
    <w:rsid w:val="007C4825"/>
    <w:rsid w:val="007C6662"/>
    <w:rsid w:val="007C6867"/>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132"/>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8BA"/>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2E7C"/>
    <w:rsid w:val="009735B7"/>
    <w:rsid w:val="0097486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9C8"/>
    <w:rsid w:val="009F76CD"/>
    <w:rsid w:val="009F79C9"/>
    <w:rsid w:val="00A00C54"/>
    <w:rsid w:val="00A00C62"/>
    <w:rsid w:val="00A01925"/>
    <w:rsid w:val="00A02524"/>
    <w:rsid w:val="00A04FB9"/>
    <w:rsid w:val="00A050A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40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6923"/>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0B"/>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4EA"/>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1792C"/>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2E9"/>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114"/>
    <w:rsid w:val="00D57A17"/>
    <w:rsid w:val="00D60101"/>
    <w:rsid w:val="00D60346"/>
    <w:rsid w:val="00D6075E"/>
    <w:rsid w:val="00D60897"/>
    <w:rsid w:val="00D61D97"/>
    <w:rsid w:val="00D621A0"/>
    <w:rsid w:val="00D624A8"/>
    <w:rsid w:val="00D639A9"/>
    <w:rsid w:val="00D645F4"/>
    <w:rsid w:val="00D6559B"/>
    <w:rsid w:val="00D66D69"/>
    <w:rsid w:val="00D6709C"/>
    <w:rsid w:val="00D67416"/>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3CE9"/>
    <w:rsid w:val="00DD5A31"/>
    <w:rsid w:val="00DD6690"/>
    <w:rsid w:val="00DD6B1A"/>
    <w:rsid w:val="00DD6F97"/>
    <w:rsid w:val="00DD7FD1"/>
    <w:rsid w:val="00DE00D5"/>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B8E"/>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1E78"/>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787"/>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487"/>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871F0"/>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07C"/>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accredi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B0F45-69E7-4C75-9529-9BBAC1F5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5013</Words>
  <Characters>28577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33</cp:revision>
  <cp:lastPrinted>2016-05-30T07:35:00Z</cp:lastPrinted>
  <dcterms:created xsi:type="dcterms:W3CDTF">2015-09-15T02:37:00Z</dcterms:created>
  <dcterms:modified xsi:type="dcterms:W3CDTF">2016-05-30T07:35:00Z</dcterms:modified>
</cp:coreProperties>
</file>