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9250B4">
        <w:rPr>
          <w:color w:val="000000"/>
          <w:sz w:val="24"/>
          <w:szCs w:val="24"/>
        </w:rPr>
        <w:t>318/ПУ</w:t>
      </w:r>
      <w:r>
        <w:rPr>
          <w:color w:val="000000"/>
          <w:sz w:val="24"/>
          <w:szCs w:val="24"/>
        </w:rPr>
        <w:t xml:space="preserve"> от «</w:t>
      </w:r>
      <w:r w:rsidR="009250B4">
        <w:rPr>
          <w:color w:val="000000"/>
          <w:sz w:val="24"/>
          <w:szCs w:val="24"/>
        </w:rPr>
        <w:t>14</w:t>
      </w:r>
      <w:r w:rsidR="00EF4AB4">
        <w:rPr>
          <w:color w:val="000000"/>
          <w:sz w:val="24"/>
          <w:szCs w:val="24"/>
        </w:rPr>
        <w:t xml:space="preserve">» </w:t>
      </w:r>
      <w:r w:rsidR="009250B4">
        <w:rPr>
          <w:color w:val="000000"/>
          <w:sz w:val="24"/>
          <w:szCs w:val="24"/>
        </w:rPr>
        <w:t>июля</w:t>
      </w:r>
      <w:r w:rsidR="00EF4AB4">
        <w:rPr>
          <w:color w:val="000000"/>
          <w:sz w:val="24"/>
          <w:szCs w:val="24"/>
        </w:rPr>
        <w:t xml:space="preserve">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9D28D5">
              <w:rPr>
                <w:bCs/>
                <w:sz w:val="24"/>
                <w:szCs w:val="24"/>
              </w:rPr>
              <w:t>Выполнение работ по проведению капитально-восстановительного ремонта механической части крана мостового электрического КМ100Б1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FC36E3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FC36E3">
              <w:rPr>
                <w:bCs/>
                <w:sz w:val="24"/>
                <w:szCs w:val="24"/>
              </w:rPr>
              <w:t>П</w:t>
            </w:r>
            <w:r w:rsidRPr="00033237">
              <w:rPr>
                <w:bCs/>
                <w:sz w:val="24"/>
                <w:szCs w:val="24"/>
              </w:rPr>
              <w:t>АО «</w:t>
            </w:r>
            <w:r w:rsidR="00FC36E3">
              <w:rPr>
                <w:bCs/>
                <w:sz w:val="24"/>
                <w:szCs w:val="24"/>
              </w:rPr>
              <w:t>Юнипро»</w:t>
            </w:r>
            <w:bookmarkStart w:id="1" w:name="_GoBack"/>
            <w:bookmarkEnd w:id="1"/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56B1E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56B1E">
              <w:rPr>
                <w:sz w:val="24"/>
                <w:szCs w:val="24"/>
                <w:lang w:eastAsia="en-US"/>
              </w:rPr>
              <w:t>14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56B1E">
              <w:rPr>
                <w:sz w:val="24"/>
                <w:szCs w:val="24"/>
                <w:lang w:eastAsia="en-US"/>
              </w:rPr>
              <w:t>07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5D60B0">
              <w:rPr>
                <w:sz w:val="24"/>
                <w:szCs w:val="24"/>
                <w:lang w:eastAsia="en-US"/>
              </w:rPr>
              <w:t>22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5D60B0">
              <w:rPr>
                <w:sz w:val="24"/>
                <w:szCs w:val="24"/>
                <w:lang w:eastAsia="en-US"/>
              </w:rPr>
              <w:t>07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EC4915" w:rsidP="00EC4915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Июль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>
              <w:rPr>
                <w:sz w:val="24"/>
                <w:szCs w:val="24"/>
                <w:lang w:eastAsia="en-US"/>
              </w:rPr>
              <w:t xml:space="preserve">Сентябрь </w:t>
            </w:r>
            <w:r w:rsidR="00676626">
              <w:rPr>
                <w:sz w:val="24"/>
                <w:szCs w:val="24"/>
                <w:lang w:eastAsia="en-US"/>
              </w:rPr>
              <w:t>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</w:t>
            </w:r>
            <w:r w:rsidRPr="00033237">
              <w:rPr>
                <w:i/>
              </w:rPr>
              <w:lastRenderedPageBreak/>
              <w:t>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56B1E"/>
    <w:rsid w:val="00460C7C"/>
    <w:rsid w:val="004D4492"/>
    <w:rsid w:val="005A4DD8"/>
    <w:rsid w:val="005D60B0"/>
    <w:rsid w:val="006177E8"/>
    <w:rsid w:val="00676626"/>
    <w:rsid w:val="006A367F"/>
    <w:rsid w:val="006C657A"/>
    <w:rsid w:val="008F1B2E"/>
    <w:rsid w:val="009250B4"/>
    <w:rsid w:val="0094536A"/>
    <w:rsid w:val="009D28D5"/>
    <w:rsid w:val="00B078E2"/>
    <w:rsid w:val="00D0271F"/>
    <w:rsid w:val="00EC2DC6"/>
    <w:rsid w:val="00EC4915"/>
    <w:rsid w:val="00EF4AB4"/>
    <w:rsid w:val="00FC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Лукина Наталья Вадимовна</cp:lastModifiedBy>
  <cp:revision>32</cp:revision>
  <cp:lastPrinted>2016-02-17T11:55:00Z</cp:lastPrinted>
  <dcterms:created xsi:type="dcterms:W3CDTF">2016-02-17T11:15:00Z</dcterms:created>
  <dcterms:modified xsi:type="dcterms:W3CDTF">2016-07-15T09:43:00Z</dcterms:modified>
</cp:coreProperties>
</file>