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Pr="00CC1D59" w:rsidRDefault="002F6839" w:rsidP="000757EE">
      <w:pPr>
        <w:spacing w:line="240" w:lineRule="auto"/>
        <w:ind w:left="4678" w:hanging="11"/>
        <w:jc w:val="right"/>
        <w:rPr>
          <w:sz w:val="24"/>
          <w:szCs w:val="24"/>
        </w:rPr>
      </w:pPr>
      <w:bookmarkStart w:id="0" w:name="_Toc517582288"/>
      <w:bookmarkStart w:id="1" w:name="_Toc517582612"/>
      <w:bookmarkStart w:id="2" w:name="_Hlt447028322"/>
      <w:r w:rsidRPr="00DD24C7">
        <w:rPr>
          <w:b/>
          <w:sz w:val="24"/>
          <w:szCs w:val="24"/>
        </w:rPr>
        <w:t>«</w:t>
      </w:r>
      <w:r w:rsidRPr="00CC1D59">
        <w:rPr>
          <w:sz w:val="24"/>
          <w:szCs w:val="24"/>
        </w:rPr>
        <w:t xml:space="preserve"> </w:t>
      </w:r>
    </w:p>
    <w:p w:rsidR="002F6839" w:rsidRPr="00CC1D59" w:rsidRDefault="002F6839" w:rsidP="002F6839">
      <w:pPr>
        <w:spacing w:line="240" w:lineRule="auto"/>
        <w:ind w:left="3424" w:hanging="11"/>
        <w:jc w:val="center"/>
        <w:rPr>
          <w:b/>
          <w:bCs/>
          <w:sz w:val="24"/>
          <w:szCs w:val="24"/>
        </w:rPr>
      </w:pPr>
    </w:p>
    <w:p w:rsidR="002F6839" w:rsidRPr="00CC1D59" w:rsidRDefault="002F6839" w:rsidP="002F6839">
      <w:pPr>
        <w:tabs>
          <w:tab w:val="left" w:pos="4680"/>
        </w:tabs>
        <w:spacing w:line="240" w:lineRule="auto"/>
        <w:ind w:left="5427" w:hanging="11"/>
        <w:jc w:val="left"/>
        <w:rPr>
          <w:b/>
          <w:bCs/>
          <w:sz w:val="24"/>
          <w:szCs w:val="24"/>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0757EE" w:rsidRDefault="000757EE"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6215B4">
        <w:rPr>
          <w:b/>
          <w:sz w:val="24"/>
          <w:szCs w:val="24"/>
        </w:rPr>
        <w:t>ПАО «ЮНИПРО»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215B4">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1042F3">
          <w:rPr>
            <w:webHidden/>
          </w:rPr>
          <w:t>3</w:t>
        </w:r>
        <w:r w:rsidR="009D3BCB">
          <w:rPr>
            <w:webHidden/>
          </w:rPr>
          <w:fldChar w:fldCharType="end"/>
        </w:r>
      </w:hyperlink>
    </w:p>
    <w:p w:rsidR="009D3BCB" w:rsidRDefault="0082459A">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1042F3">
          <w:rPr>
            <w:webHidden/>
          </w:rPr>
          <w:t>6</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1042F3">
          <w:rPr>
            <w:webHidden/>
          </w:rPr>
          <w:t>9</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1042F3">
          <w:rPr>
            <w:webHidden/>
          </w:rPr>
          <w:t>12</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1042F3">
          <w:rPr>
            <w:webHidden/>
          </w:rPr>
          <w:t>14</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1042F3">
          <w:rPr>
            <w:webHidden/>
          </w:rPr>
          <w:t>16</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1042F3">
          <w:rPr>
            <w:webHidden/>
          </w:rPr>
          <w:t>20</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1042F3">
          <w:rPr>
            <w:webHidden/>
          </w:rPr>
          <w:t>22</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1042F3">
          <w:rPr>
            <w:webHidden/>
          </w:rPr>
          <w:t>24</w:t>
        </w:r>
        <w:r w:rsidR="009D3BCB">
          <w:rPr>
            <w:webHidden/>
          </w:rPr>
          <w:fldChar w:fldCharType="end"/>
        </w:r>
      </w:hyperlink>
    </w:p>
    <w:p w:rsidR="009D3BCB" w:rsidRDefault="0082459A">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1042F3">
          <w:rPr>
            <w:webHidden/>
          </w:rPr>
          <w:t>26</w:t>
        </w:r>
        <w:r w:rsidR="009D3BCB">
          <w:rPr>
            <w:webHidden/>
          </w:rPr>
          <w:fldChar w:fldCharType="end"/>
        </w:r>
      </w:hyperlink>
    </w:p>
    <w:p w:rsidR="009D3BCB" w:rsidRDefault="0082459A">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1042F3">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82459A">
        <w:rPr>
          <w:i/>
          <w:sz w:val="24"/>
          <w:szCs w:val="24"/>
          <w:shd w:val="clear" w:color="auto" w:fill="FFFFFF" w:themeFill="background1"/>
        </w:rPr>
        <w:t>908</w:t>
      </w:r>
      <w:r w:rsidR="005270A1" w:rsidRPr="005270A1">
        <w:rPr>
          <w:i/>
          <w:sz w:val="24"/>
          <w:szCs w:val="24"/>
          <w:shd w:val="clear" w:color="auto" w:fill="FFFFFF" w:themeFill="background1"/>
        </w:rPr>
        <w:t xml:space="preserve"> от </w:t>
      </w:r>
      <w:r w:rsidR="0082459A">
        <w:rPr>
          <w:i/>
          <w:sz w:val="24"/>
          <w:szCs w:val="24"/>
          <w:shd w:val="clear" w:color="auto" w:fill="FFFFFF" w:themeFill="background1"/>
        </w:rPr>
        <w:t>17</w:t>
      </w:r>
      <w:r w:rsidR="00FD56A2">
        <w:rPr>
          <w:i/>
          <w:sz w:val="24"/>
          <w:szCs w:val="24"/>
          <w:shd w:val="clear" w:color="auto" w:fill="FFFFFF" w:themeFill="background1"/>
        </w:rPr>
        <w:t>.</w:t>
      </w:r>
      <w:r w:rsidR="0082459A">
        <w:rPr>
          <w:i/>
          <w:sz w:val="24"/>
          <w:szCs w:val="24"/>
          <w:shd w:val="clear" w:color="auto" w:fill="FFFFFF" w:themeFill="background1"/>
        </w:rPr>
        <w:t>08</w:t>
      </w:r>
      <w:r w:rsidR="00F615D3" w:rsidRPr="005270A1">
        <w:rPr>
          <w:i/>
          <w:sz w:val="24"/>
          <w:szCs w:val="24"/>
          <w:shd w:val="clear" w:color="auto" w:fill="FFFFFF" w:themeFill="background1"/>
        </w:rPr>
        <w:t>.201</w:t>
      </w:r>
      <w:r w:rsidR="0082459A">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82459A" w:rsidRPr="003A66EF">
          <w:rPr>
            <w:rStyle w:val="af2"/>
            <w:sz w:val="24"/>
            <w:szCs w:val="24"/>
          </w:rPr>
          <w:t>http://www.unipro.energy/purchase/documents/</w:t>
        </w:r>
      </w:hyperlink>
      <w:r w:rsidR="0082459A">
        <w:rPr>
          <w:color w:val="000000"/>
          <w:sz w:val="24"/>
          <w:szCs w:val="24"/>
        </w:rPr>
        <w:t xml:space="preserve"> </w:t>
      </w:r>
      <w:bookmarkStart w:id="4" w:name="_GoBack"/>
      <w:bookmarkEnd w:id="4"/>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6215B4" w:rsidP="00FD56A2">
            <w:pPr>
              <w:autoSpaceDE w:val="0"/>
              <w:autoSpaceDN w:val="0"/>
              <w:adjustRightInd w:val="0"/>
              <w:spacing w:line="276" w:lineRule="auto"/>
              <w:ind w:right="-72" w:firstLine="0"/>
              <w:jc w:val="left"/>
              <w:rPr>
                <w:bCs/>
                <w:sz w:val="24"/>
                <w:szCs w:val="24"/>
              </w:rPr>
            </w:pPr>
            <w:r>
              <w:rPr>
                <w:color w:val="000000"/>
                <w:sz w:val="24"/>
                <w:szCs w:val="24"/>
              </w:rPr>
              <w:t>Трубная продукция</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w:t>
            </w:r>
            <w:r w:rsidR="006215B4">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6215B4">
              <w:rPr>
                <w:color w:val="000000"/>
                <w:sz w:val="24"/>
                <w:szCs w:val="24"/>
              </w:rPr>
              <w:t>ПАО «Юнипро»</w:t>
            </w:r>
            <w:r>
              <w:rPr>
                <w:color w:val="000000"/>
                <w:sz w:val="24"/>
                <w:szCs w:val="24"/>
              </w:rPr>
              <w:t xml:space="preserve">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E626F2">
              <w:rPr>
                <w:i/>
                <w:sz w:val="24"/>
                <w:szCs w:val="24"/>
                <w:lang w:eastAsia="en-US"/>
              </w:rPr>
              <w:t>Курцев Роман Геннадьевич</w:t>
            </w:r>
            <w:r w:rsidRPr="008261F5">
              <w:rPr>
                <w:i/>
                <w:sz w:val="24"/>
                <w:szCs w:val="24"/>
                <w:lang w:eastAsia="en-US"/>
              </w:rPr>
              <w:t xml:space="preserve"> </w:t>
            </w:r>
          </w:p>
          <w:p w:rsidR="00BC5425" w:rsidRPr="006215B4" w:rsidRDefault="00807B36" w:rsidP="006215B4">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6215B4" w:rsidRPr="009538DC">
                <w:rPr>
                  <w:rStyle w:val="af2"/>
                  <w:sz w:val="24"/>
                  <w:szCs w:val="24"/>
                  <w:lang w:eastAsia="en-US"/>
                </w:rPr>
                <w:t>Kurzev_RG@unipro.energy</w:t>
              </w:r>
            </w:hyperlink>
            <w:r w:rsidR="006215B4">
              <w:rPr>
                <w:sz w:val="24"/>
                <w:szCs w:val="24"/>
                <w:lang w:eastAsia="en-US"/>
              </w:rPr>
              <w:t xml:space="preserve"> </w:t>
            </w:r>
            <w:r w:rsidR="00BC5425" w:rsidRPr="00F3026D">
              <w:rPr>
                <w:sz w:val="24"/>
                <w:szCs w:val="24"/>
                <w:lang w:eastAsia="en-US"/>
              </w:rPr>
              <w:t xml:space="preserve">мер контактного телефона:  </w:t>
            </w:r>
            <w:r>
              <w:rPr>
                <w:sz w:val="24"/>
                <w:szCs w:val="24"/>
                <w:lang w:eastAsia="en-US"/>
              </w:rPr>
              <w:t>(49645)7-</w:t>
            </w:r>
            <w:r w:rsidR="00E626F2" w:rsidRPr="006215B4">
              <w:rPr>
                <w:sz w:val="24"/>
                <w:szCs w:val="24"/>
                <w:lang w:eastAsia="en-US"/>
              </w:rPr>
              <w:t>14-73</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6215B4">
              <w:rPr>
                <w:bCs/>
                <w:sz w:val="24"/>
                <w:szCs w:val="24"/>
              </w:rPr>
              <w:t>ПАО</w:t>
            </w:r>
            <w:r w:rsidRPr="008261F5">
              <w:rPr>
                <w:bCs/>
                <w:sz w:val="24"/>
                <w:szCs w:val="24"/>
              </w:rPr>
              <w:t xml:space="preserve"> «</w:t>
            </w:r>
            <w:r w:rsidR="006215B4">
              <w:rPr>
                <w:bCs/>
                <w:sz w:val="24"/>
                <w:szCs w:val="24"/>
              </w:rPr>
              <w:t>Юнипро»</w:t>
            </w:r>
            <w:r w:rsidRPr="008261F5">
              <w:rPr>
                <w:bCs/>
                <w:sz w:val="24"/>
                <w:szCs w:val="24"/>
              </w:rPr>
              <w:t>, Раздел «Закупки»:</w:t>
            </w:r>
            <w:r w:rsidRPr="00F3026D">
              <w:rPr>
                <w:spacing w:val="-6"/>
                <w:sz w:val="24"/>
                <w:szCs w:val="24"/>
              </w:rPr>
              <w:t xml:space="preserve">  (</w:t>
            </w:r>
            <w:hyperlink r:id="rId11" w:history="1">
              <w:r w:rsidR="006215B4" w:rsidRPr="009538DC">
                <w:rPr>
                  <w:rStyle w:val="af2"/>
                  <w:spacing w:val="-6"/>
                  <w:sz w:val="24"/>
                  <w:szCs w:val="24"/>
                </w:rPr>
                <w:t>http://www.unipro.energy/purchase/announcement/</w:t>
              </w:r>
            </w:hyperlink>
            <w:r w:rsidR="006215B4">
              <w:rPr>
                <w:spacing w:val="-6"/>
                <w:sz w:val="24"/>
                <w:szCs w:val="24"/>
              </w:rPr>
              <w:t xml:space="preserve"> </w:t>
            </w:r>
            <w:r w:rsidRPr="008261F5">
              <w:rPr>
                <w:i/>
                <w:sz w:val="24"/>
                <w:szCs w:val="24"/>
                <w:lang w:eastAsia="en-US"/>
              </w:rPr>
              <w:t>)</w:t>
            </w:r>
          </w:p>
          <w:p w:rsidR="00BC5425" w:rsidRPr="00F3026D" w:rsidRDefault="00BC5425" w:rsidP="006215B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D7C7B">
              <w:rPr>
                <w:b/>
                <w:sz w:val="24"/>
                <w:szCs w:val="24"/>
                <w:lang w:eastAsia="en-US"/>
              </w:rPr>
              <w:t>1</w:t>
            </w:r>
            <w:r w:rsidR="006215B4">
              <w:rPr>
                <w:b/>
                <w:sz w:val="24"/>
                <w:szCs w:val="24"/>
                <w:lang w:eastAsia="en-US"/>
              </w:rPr>
              <w:t>7</w:t>
            </w:r>
            <w:r w:rsidR="000F748C" w:rsidRPr="000F748C">
              <w:rPr>
                <w:b/>
                <w:sz w:val="24"/>
                <w:szCs w:val="24"/>
                <w:lang w:eastAsia="en-US"/>
              </w:rPr>
              <w:t>.</w:t>
            </w:r>
            <w:r w:rsidR="006215B4">
              <w:rPr>
                <w:b/>
                <w:sz w:val="24"/>
                <w:szCs w:val="24"/>
                <w:lang w:eastAsia="en-US"/>
              </w:rPr>
              <w:t>08</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w:t>
            </w:r>
            <w:r w:rsidR="006215B4">
              <w:rPr>
                <w:b/>
                <w:sz w:val="24"/>
                <w:szCs w:val="24"/>
                <w:lang w:eastAsia="en-US"/>
              </w:rPr>
              <w:t>6</w:t>
            </w:r>
            <w:r w:rsidR="000F748C" w:rsidRPr="000F748C">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6215B4">
              <w:rPr>
                <w:b/>
                <w:sz w:val="24"/>
                <w:szCs w:val="24"/>
                <w:lang w:eastAsia="en-US"/>
              </w:rPr>
              <w:t>24</w:t>
            </w:r>
            <w:r w:rsidRPr="000F748C">
              <w:rPr>
                <w:b/>
                <w:sz w:val="24"/>
                <w:szCs w:val="24"/>
                <w:lang w:eastAsia="en-US"/>
              </w:rPr>
              <w:t>.</w:t>
            </w:r>
            <w:r w:rsidR="006215B4">
              <w:rPr>
                <w:b/>
                <w:sz w:val="24"/>
                <w:szCs w:val="24"/>
                <w:lang w:eastAsia="en-US"/>
              </w:rPr>
              <w:t>08</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6215B4">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6215B4" w:rsidRPr="009538DC">
                <w:rPr>
                  <w:rStyle w:val="af2"/>
                  <w:sz w:val="24"/>
                  <w:szCs w:val="24"/>
                  <w:lang w:eastAsia="en-US"/>
                </w:rPr>
                <w:t>Kurzev_RG@unipro.energy</w:t>
              </w:r>
            </w:hyperlink>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6215B4" w:rsidP="001D7C7B">
            <w:pPr>
              <w:tabs>
                <w:tab w:val="left" w:pos="0"/>
              </w:tabs>
              <w:spacing w:line="276" w:lineRule="auto"/>
              <w:ind w:left="540" w:right="153" w:hanging="540"/>
              <w:jc w:val="left"/>
              <w:rPr>
                <w:i/>
                <w:sz w:val="24"/>
                <w:szCs w:val="24"/>
                <w:lang w:eastAsia="en-US"/>
              </w:rPr>
            </w:pPr>
            <w:r>
              <w:rPr>
                <w:b/>
                <w:color w:val="000000"/>
                <w:sz w:val="24"/>
                <w:szCs w:val="24"/>
              </w:rPr>
              <w:t>До 30 сентября</w:t>
            </w:r>
            <w:r w:rsidR="00CF41DC">
              <w:rPr>
                <w:b/>
                <w:color w:val="000000"/>
                <w:sz w:val="24"/>
                <w:szCs w:val="24"/>
              </w:rPr>
              <w:t xml:space="preserve"> </w:t>
            </w:r>
            <w:r w:rsidR="00CF41DC" w:rsidRPr="00A34297">
              <w:rPr>
                <w:b/>
                <w:color w:val="000000"/>
                <w:sz w:val="24"/>
                <w:szCs w:val="24"/>
              </w:rPr>
              <w:t>201</w:t>
            </w:r>
            <w:r w:rsidR="001D7C7B">
              <w:rPr>
                <w:b/>
                <w:color w:val="000000"/>
                <w:sz w:val="24"/>
                <w:szCs w:val="24"/>
              </w:rPr>
              <w:t>6</w:t>
            </w:r>
            <w:r w:rsidR="004A7232" w:rsidRPr="00A34297">
              <w:rPr>
                <w:b/>
                <w:color w:val="000000"/>
                <w:sz w:val="24"/>
                <w:szCs w:val="24"/>
              </w:rPr>
              <w:t>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6215B4">
              <w:rPr>
                <w:rFonts w:ascii="Verdana" w:hAnsi="Verdana"/>
                <w:bCs/>
                <w:sz w:val="20"/>
              </w:rPr>
              <w:t>«</w:t>
            </w:r>
            <w:r w:rsidR="004A7232">
              <w:rPr>
                <w:sz w:val="24"/>
                <w:szCs w:val="24"/>
              </w:rPr>
              <w:t xml:space="preserve">Филиал ШГРЭС» </w:t>
            </w:r>
            <w:r w:rsidR="006215B4">
              <w:rPr>
                <w:sz w:val="24"/>
                <w:szCs w:val="24"/>
              </w:rPr>
              <w:t>ПАО «Юнипро»</w:t>
            </w:r>
            <w:r w:rsidR="004A7232">
              <w:rPr>
                <w:sz w:val="24"/>
                <w:szCs w:val="24"/>
              </w:rPr>
              <w:t>,</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6215B4">
              <w:rPr>
                <w:sz w:val="24"/>
                <w:szCs w:val="24"/>
              </w:rPr>
              <w:t>ПАО «Юнипро»</w:t>
            </w:r>
            <w:r w:rsidRPr="004A7232">
              <w:rPr>
                <w:sz w:val="24"/>
                <w:szCs w:val="24"/>
              </w:rPr>
              <w:t>, 140700, Московская обл., г..Шатура, Черноозерский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6215B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6215B4">
              <w:rPr>
                <w:i/>
              </w:rPr>
              <w:t>8</w:t>
            </w:r>
            <w:r w:rsidRPr="00FE4AEF">
              <w:rPr>
                <w:i/>
              </w:rPr>
              <w:t>.1</w:t>
            </w:r>
            <w:r w:rsidR="006215B4">
              <w:rPr>
                <w:i/>
              </w:rPr>
              <w:t>6</w:t>
            </w:r>
            <w:r w:rsidRPr="00FE4AEF">
              <w:rPr>
                <w:i/>
              </w:rPr>
              <w:t>.</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6215B4">
                <w:rPr>
                  <w:rStyle w:val="af2"/>
                  <w:i/>
                  <w:sz w:val="24"/>
                  <w:szCs w:val="24"/>
                </w:rPr>
                <w:t>http://www.unipro.energy/files/117/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t>
              </w:r>
              <w:r w:rsidR="006215B4" w:rsidRPr="006215B4">
                <w:rPr>
                  <w:rStyle w:val="af2"/>
                  <w:i/>
                  <w:sz w:val="24"/>
                  <w:szCs w:val="24"/>
                  <w:lang w:eastAsia="en-US"/>
                </w:rPr>
                <w:t>unipro.energy</w:t>
              </w:r>
              <w:r w:rsidR="003B1A02" w:rsidRPr="00FE4AEF">
                <w:rPr>
                  <w:rStyle w:val="af2"/>
                  <w:i/>
                  <w:sz w:val="24"/>
                  <w:szCs w:val="24"/>
                  <w:lang w:eastAsia="en-US"/>
                </w:rPr>
                <w:t>/purchase/interaction/services/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6215B4">
        <w:rPr>
          <w:color w:val="000000"/>
          <w:sz w:val="24"/>
          <w:szCs w:val="24"/>
        </w:rPr>
        <w:t>ПАО «Юнипро»</w:t>
      </w:r>
      <w:r w:rsidR="00D20281" w:rsidRPr="00CC6391">
        <w:rPr>
          <w:color w:val="000000"/>
          <w:sz w:val="24"/>
          <w:szCs w:val="24"/>
        </w:rPr>
        <w:t xml:space="preserve"> </w:t>
      </w:r>
      <w:hyperlink r:id="rId15" w:history="1">
        <w:r w:rsidR="006215B4">
          <w:rPr>
            <w:rStyle w:val="af2"/>
            <w:sz w:val="24"/>
            <w:szCs w:val="24"/>
          </w:rPr>
          <w:t>http://www.unipro.energy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График поставки товара  (форма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6215B4">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5A077A" w:rsidP="007323A5">
      <w:pPr>
        <w:tabs>
          <w:tab w:val="num" w:pos="1276"/>
        </w:tabs>
        <w:autoSpaceDE w:val="0"/>
        <w:autoSpaceDN w:val="0"/>
        <w:rPr>
          <w:sz w:val="22"/>
          <w:szCs w:val="22"/>
          <w:lang w:val="sr-Cyrl-CS"/>
        </w:rPr>
      </w:pPr>
      <w:r>
        <w:rPr>
          <w:sz w:val="22"/>
          <w:szCs w:val="22"/>
        </w:rPr>
        <w:t>Публичное</w:t>
      </w:r>
      <w:r w:rsidR="007323A5" w:rsidRPr="007323A5">
        <w:rPr>
          <w:sz w:val="22"/>
          <w:szCs w:val="22"/>
          <w:lang w:val="sr-Cyrl-CS"/>
        </w:rPr>
        <w:t xml:space="preserve"> акционерное общество «</w:t>
      </w:r>
      <w:r>
        <w:rPr>
          <w:sz w:val="22"/>
          <w:szCs w:val="22"/>
        </w:rPr>
        <w:t>Юнипро</w:t>
      </w:r>
      <w:r w:rsidR="007323A5" w:rsidRPr="007323A5">
        <w:rPr>
          <w:sz w:val="22"/>
          <w:szCs w:val="22"/>
        </w:rPr>
        <w:t>» (</w:t>
      </w:r>
      <w:r>
        <w:rPr>
          <w:sz w:val="22"/>
          <w:szCs w:val="22"/>
        </w:rPr>
        <w:t>П</w:t>
      </w:r>
      <w:r w:rsidR="007323A5" w:rsidRPr="007323A5">
        <w:rPr>
          <w:sz w:val="22"/>
          <w:szCs w:val="22"/>
        </w:rPr>
        <w:t>АО «</w:t>
      </w:r>
      <w:r>
        <w:rPr>
          <w:sz w:val="22"/>
          <w:szCs w:val="22"/>
        </w:rPr>
        <w:t>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6215B4">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6215B4">
        <w:rPr>
          <w:sz w:val="22"/>
          <w:szCs w:val="22"/>
          <w:lang w:val="sr-Cyrl-CS"/>
        </w:rPr>
        <w:t>ПАО «Юнипро»</w:t>
      </w:r>
      <w:r w:rsidRPr="007323A5">
        <w:rPr>
          <w:sz w:val="22"/>
          <w:szCs w:val="22"/>
          <w:lang w:val="sr-Cyrl-CS"/>
        </w:rPr>
        <w:t xml:space="preserve">, опубликовано на сайте </w:t>
      </w:r>
      <w:r w:rsidR="006215B4">
        <w:rPr>
          <w:sz w:val="22"/>
          <w:szCs w:val="22"/>
          <w:lang w:val="sr-Cyrl-CS"/>
        </w:rPr>
        <w:t>ПАО «Юнипро»</w:t>
      </w:r>
      <w:r w:rsidRPr="007323A5">
        <w:rPr>
          <w:sz w:val="22"/>
          <w:szCs w:val="22"/>
          <w:lang w:val="sr-Cyrl-CS"/>
        </w:rPr>
        <w:t xml:space="preserve">: www.eon-russia.ru. Поставщик с Положением о соблюдении Принципов Глобального договора ООН, действующим в </w:t>
      </w:r>
      <w:r w:rsidR="006215B4">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6215B4" w:rsidP="00572998">
            <w:pPr>
              <w:spacing w:line="240" w:lineRule="auto"/>
              <w:ind w:left="5" w:right="196" w:firstLine="0"/>
              <w:jc w:val="left"/>
              <w:rPr>
                <w:rFonts w:ascii="Verdana" w:hAnsi="Verdana"/>
                <w:b/>
                <w:sz w:val="20"/>
              </w:rPr>
            </w:pPr>
            <w:r>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6215B4">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6215B4">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5B4" w:rsidRDefault="006215B4">
      <w:r>
        <w:separator/>
      </w:r>
    </w:p>
  </w:endnote>
  <w:endnote w:type="continuationSeparator" w:id="0">
    <w:p w:rsidR="006215B4" w:rsidRDefault="0062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215B4" w:rsidRDefault="006215B4">
        <w:pPr>
          <w:pStyle w:val="af0"/>
          <w:jc w:val="right"/>
        </w:pPr>
        <w:r>
          <w:fldChar w:fldCharType="begin"/>
        </w:r>
        <w:r>
          <w:instrText xml:space="preserve"> PAGE   \* MERGEFORMAT </w:instrText>
        </w:r>
        <w:r>
          <w:fldChar w:fldCharType="separate"/>
        </w:r>
        <w:r w:rsidR="0082459A">
          <w:rPr>
            <w:noProof/>
          </w:rPr>
          <w:t>3</w:t>
        </w:r>
        <w:r>
          <w:rPr>
            <w:noProof/>
          </w:rPr>
          <w:fldChar w:fldCharType="end"/>
        </w:r>
      </w:p>
    </w:sdtContent>
  </w:sdt>
  <w:p w:rsidR="006215B4" w:rsidRDefault="006215B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5B4" w:rsidRDefault="006215B4">
      <w:r>
        <w:separator/>
      </w:r>
    </w:p>
  </w:footnote>
  <w:footnote w:type="continuationSeparator" w:id="0">
    <w:p w:rsidR="006215B4" w:rsidRDefault="0062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5B4" w:rsidRPr="005856AF" w:rsidRDefault="006215B4"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7EE"/>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77A"/>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5B4"/>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59A"/>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1"/>
    <o:shapelayout v:ext="edit">
      <o:idmap v:ext="edit" data="1"/>
    </o:shapelayout>
  </w:shapeDefaults>
  <w:decimalSymbol w:val=","/>
  <w:listSeparator w:val=";"/>
  <w14:docId w14:val="793E87E4"/>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Kurzev_R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954B6-0BC7-458A-9721-420797F9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9229</Words>
  <Characters>52609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61715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3</cp:revision>
  <cp:lastPrinted>2015-11-02T10:40:00Z</cp:lastPrinted>
  <dcterms:created xsi:type="dcterms:W3CDTF">2016-08-17T13:16:00Z</dcterms:created>
  <dcterms:modified xsi:type="dcterms:W3CDTF">2016-08-17T13:41:00Z</dcterms:modified>
</cp:coreProperties>
</file>