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2DD" w:rsidRPr="00C42749" w:rsidRDefault="001432DD" w:rsidP="00DC0D32">
      <w:pPr>
        <w:pStyle w:val="a6"/>
        <w:rPr>
          <w:rFonts w:ascii="Verdana" w:hAnsi="Verdana"/>
          <w:sz w:val="22"/>
          <w:szCs w:val="22"/>
        </w:rPr>
      </w:pPr>
    </w:p>
    <w:p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002061C8"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rsidR="00DC0D32" w:rsidRPr="00C42749" w:rsidRDefault="00DC0D32" w:rsidP="00DC0D32">
      <w:pPr>
        <w:pStyle w:val="a4"/>
        <w:tabs>
          <w:tab w:val="clear" w:pos="1276"/>
        </w:tabs>
        <w:ind w:firstLine="540"/>
        <w:jc w:val="both"/>
        <w:rPr>
          <w:rFonts w:ascii="Verdana" w:hAnsi="Verdana"/>
          <w:sz w:val="22"/>
          <w:szCs w:val="22"/>
          <w:lang w:val="ru-RU"/>
        </w:rPr>
      </w:pPr>
    </w:p>
    <w:p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r w:rsidR="002061C8"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r w:rsidR="002061C8"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w:t>
      </w:r>
      <w:r w:rsidRPr="00C42749">
        <w:rPr>
          <w:rFonts w:ascii="Verdana" w:hAnsi="Verdana"/>
          <w:sz w:val="22"/>
          <w:szCs w:val="22"/>
          <w:lang w:val="ru-RU"/>
        </w:rPr>
        <w:lastRenderedPageBreak/>
        <w:t xml:space="preserve">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248C5" w:rsidRPr="00C42749" w:rsidRDefault="007248C5" w:rsidP="00D464D7">
      <w:pPr>
        <w:pStyle w:val="a4"/>
        <w:ind w:firstLine="567"/>
        <w:jc w:val="both"/>
        <w:rPr>
          <w:rFonts w:ascii="Verdana" w:hAnsi="Verdana"/>
          <w:sz w:val="22"/>
          <w:szCs w:val="22"/>
          <w:lang w:val="ru-RU"/>
        </w:rPr>
      </w:pPr>
    </w:p>
    <w:p w:rsidR="005235A2" w:rsidRPr="00C42749" w:rsidRDefault="005235A2" w:rsidP="00DA1F9A">
      <w:pPr>
        <w:pStyle w:val="a4"/>
        <w:ind w:firstLine="567"/>
        <w:jc w:val="both"/>
        <w:rPr>
          <w:rFonts w:ascii="Verdana" w:hAnsi="Verdana"/>
          <w:i/>
          <w:sz w:val="22"/>
          <w:szCs w:val="22"/>
          <w:lang w:val="ru-RU"/>
        </w:rPr>
      </w:pP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w:t>
      </w:r>
      <w:r w:rsidRPr="00C42749">
        <w:rPr>
          <w:rFonts w:ascii="Verdana" w:hAnsi="Verdana"/>
          <w:i/>
          <w:sz w:val="22"/>
          <w:szCs w:val="22"/>
        </w:rPr>
        <w:lastRenderedPageBreak/>
        <w:t>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или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rsidR="00A76E1A" w:rsidRPr="00C42749" w:rsidRDefault="00A76E1A" w:rsidP="00272058">
      <w:pPr>
        <w:jc w:val="both"/>
        <w:rPr>
          <w:rFonts w:ascii="Verdana" w:hAnsi="Verdana"/>
          <w:sz w:val="22"/>
          <w:szCs w:val="22"/>
        </w:rPr>
      </w:pP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w:t>
      </w:r>
      <w:r w:rsidRPr="00C42749">
        <w:rPr>
          <w:rFonts w:ascii="Verdana" w:hAnsi="Verdana"/>
          <w:i/>
          <w:sz w:val="22"/>
          <w:szCs w:val="22"/>
        </w:rPr>
        <w:lastRenderedPageBreak/>
        <w:t>до окончания срока действия имеющейся соответствующей Гарантии гарантийного периода.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w:t>
      </w:r>
      <w:r w:rsidRPr="00C42749">
        <w:rPr>
          <w:rFonts w:ascii="Verdana" w:hAnsi="Verdana"/>
          <w:sz w:val="22"/>
          <w:szCs w:val="22"/>
          <w:lang w:val="ru-RU"/>
        </w:rPr>
        <w:lastRenderedPageBreak/>
        <w:t xml:space="preserve">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24E9B" w:rsidRDefault="00B24E9B" w:rsidP="00674891">
      <w:pPr>
        <w:pStyle w:val="16"/>
        <w:shd w:val="clear" w:color="auto" w:fill="auto"/>
        <w:tabs>
          <w:tab w:val="left" w:pos="763"/>
        </w:tabs>
        <w:spacing w:before="0" w:after="0" w:line="240" w:lineRule="auto"/>
        <w:ind w:firstLine="567"/>
        <w:rPr>
          <w:b/>
          <w:i/>
          <w:sz w:val="20"/>
          <w:szCs w:val="20"/>
        </w:rPr>
      </w:pPr>
    </w:p>
    <w:p w:rsidR="00272058" w:rsidRDefault="00272058" w:rsidP="00674891">
      <w:pPr>
        <w:pStyle w:val="16"/>
        <w:shd w:val="clear" w:color="auto" w:fill="auto"/>
        <w:tabs>
          <w:tab w:val="left" w:pos="763"/>
        </w:tabs>
        <w:spacing w:before="0" w:after="0" w:line="240" w:lineRule="auto"/>
        <w:ind w:firstLine="567"/>
        <w:rPr>
          <w:rFonts w:eastAsia="Times New Roman" w:cs="Times New Roman"/>
          <w:sz w:val="22"/>
          <w:szCs w:val="22"/>
        </w:rPr>
      </w:pPr>
    </w:p>
    <w:p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lastRenderedPageBreak/>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r w:rsidR="002904F0" w:rsidRPr="00C42749">
        <w:rPr>
          <w:rFonts w:ascii="Verdana" w:hAnsi="Verdana"/>
          <w:sz w:val="22"/>
          <w:szCs w:val="22"/>
          <w:lang w:val="ru-RU"/>
        </w:rPr>
        <w:t>не денежного</w:t>
      </w:r>
      <w:r w:rsidRPr="00C42749">
        <w:rPr>
          <w:rFonts w:ascii="Verdana" w:hAnsi="Verdana"/>
          <w:sz w:val="22"/>
          <w:szCs w:val="22"/>
          <w:lang w:val="ru-RU"/>
        </w:rPr>
        <w:t xml:space="preserve">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r w:rsidR="002904F0" w:rsidRPr="00C42749">
        <w:rPr>
          <w:rFonts w:ascii="Verdana" w:hAnsi="Verdana"/>
          <w:sz w:val="22"/>
          <w:szCs w:val="22"/>
          <w:lang w:val="ru-RU"/>
        </w:rPr>
        <w:t>к защите,</w:t>
      </w:r>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w:t>
      </w:r>
      <w:r w:rsidR="00DC0D32" w:rsidRPr="00C42749">
        <w:rPr>
          <w:rFonts w:ascii="Verdana" w:hAnsi="Verdana"/>
          <w:sz w:val="22"/>
          <w:szCs w:val="22"/>
          <w:lang w:val="ru-RU"/>
        </w:rPr>
        <w:lastRenderedPageBreak/>
        <w:t>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rsidTr="003762DD">
        <w:tc>
          <w:tcPr>
            <w:tcW w:w="4784" w:type="dxa"/>
          </w:tcPr>
          <w:p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rsidR="00DC0D32" w:rsidRPr="00C42749" w:rsidRDefault="00DC0D32"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40CD1" w:rsidRPr="00C42749" w:rsidRDefault="00A40CD1"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rsidR="0051103E" w:rsidRDefault="0051103E" w:rsidP="00A370FF">
            <w:pPr>
              <w:tabs>
                <w:tab w:val="left" w:pos="9720"/>
              </w:tabs>
              <w:ind w:left="36" w:right="-365"/>
              <w:jc w:val="both"/>
              <w:rPr>
                <w:rFonts w:ascii="Verdana" w:hAnsi="Verdana"/>
                <w:sz w:val="22"/>
                <w:szCs w:val="22"/>
              </w:rPr>
            </w:pPr>
          </w:p>
          <w:p w:rsidR="00672EC8" w:rsidRDefault="00672EC8" w:rsidP="00A370FF">
            <w:pPr>
              <w:tabs>
                <w:tab w:val="left" w:pos="9720"/>
              </w:tabs>
              <w:ind w:left="36" w:right="-365"/>
              <w:jc w:val="both"/>
              <w:rPr>
                <w:rFonts w:ascii="Verdana" w:hAnsi="Verdana"/>
                <w:sz w:val="22"/>
                <w:szCs w:val="22"/>
              </w:rPr>
            </w:pPr>
          </w:p>
          <w:p w:rsidR="00672EC8" w:rsidRPr="00C42749" w:rsidRDefault="00672EC8"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rsidR="00D37EBA" w:rsidRPr="00C42749" w:rsidRDefault="00D37EBA">
      <w:pPr>
        <w:pStyle w:val="a6"/>
        <w:ind w:left="-540" w:right="-365"/>
        <w:jc w:val="both"/>
        <w:rPr>
          <w:rFonts w:ascii="Verdana" w:hAnsi="Verdana"/>
          <w:b/>
          <w:sz w:val="22"/>
          <w:szCs w:val="22"/>
        </w:rPr>
      </w:pPr>
    </w:p>
    <w:p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rsidR="00A40CD1" w:rsidRPr="00C42749" w:rsidRDefault="00A40CD1" w:rsidP="00DC0D32">
      <w:pPr>
        <w:pStyle w:val="a6"/>
        <w:ind w:left="-540" w:right="-365"/>
        <w:rPr>
          <w:rFonts w:ascii="Verdana" w:hAnsi="Verdana"/>
          <w:b/>
          <w:sz w:val="22"/>
          <w:szCs w:val="22"/>
        </w:rPr>
      </w:pPr>
    </w:p>
    <w:p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rsidR="00DC0D32" w:rsidRPr="00C42749" w:rsidRDefault="00DC0D32" w:rsidP="00A40CD1">
      <w:pPr>
        <w:ind w:right="-365"/>
        <w:jc w:val="center"/>
        <w:rPr>
          <w:rFonts w:ascii="Verdana" w:hAnsi="Verdana"/>
          <w:b/>
          <w:sz w:val="22"/>
          <w:szCs w:val="22"/>
        </w:rPr>
      </w:pPr>
    </w:p>
    <w:p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rsidR="00DC0D32" w:rsidRPr="00C42749" w:rsidRDefault="00DC0D32" w:rsidP="00A40CD1">
      <w:pPr>
        <w:ind w:right="-365"/>
        <w:jc w:val="both"/>
        <w:rPr>
          <w:rFonts w:ascii="Verdana" w:hAnsi="Verdana"/>
          <w:sz w:val="22"/>
          <w:szCs w:val="22"/>
        </w:rPr>
      </w:pPr>
    </w:p>
    <w:p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rsidR="00DC0D32" w:rsidRPr="00C42749" w:rsidRDefault="00DC0D32">
      <w:pPr>
        <w:tabs>
          <w:tab w:val="num" w:pos="0"/>
          <w:tab w:val="left" w:pos="9214"/>
          <w:tab w:val="left" w:pos="9356"/>
        </w:tabs>
        <w:ind w:right="-365"/>
        <w:jc w:val="both"/>
        <w:rPr>
          <w:rFonts w:ascii="Verdana" w:hAnsi="Verdana"/>
          <w:snapToGrid w:val="0"/>
          <w:sz w:val="22"/>
          <w:szCs w:val="22"/>
        </w:rPr>
      </w:pPr>
    </w:p>
    <w:p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bl>
    <w:p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rsidR="00272058" w:rsidRDefault="00272058" w:rsidP="00A40CD1">
      <w:pPr>
        <w:pStyle w:val="a4"/>
        <w:tabs>
          <w:tab w:val="clear" w:pos="1276"/>
          <w:tab w:val="num" w:pos="0"/>
          <w:tab w:val="num" w:pos="851"/>
        </w:tabs>
        <w:ind w:right="-2" w:firstLine="567"/>
        <w:jc w:val="both"/>
        <w:rPr>
          <w:rFonts w:ascii="Verdana" w:hAnsi="Verdana"/>
          <w:b/>
          <w:i/>
          <w:lang w:val="ru-RU"/>
        </w:rPr>
      </w:pPr>
    </w:p>
    <w:p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72058" w:rsidRDefault="00272058" w:rsidP="00632CAC">
      <w:pPr>
        <w:ind w:firstLine="567"/>
        <w:jc w:val="both"/>
        <w:rPr>
          <w:rFonts w:ascii="Verdana" w:hAnsi="Verdana"/>
          <w:b/>
          <w:i/>
        </w:rPr>
      </w:pPr>
    </w:p>
    <w:p w:rsidR="00632CAC" w:rsidRPr="00632CAC" w:rsidRDefault="00632CAC" w:rsidP="00632CAC">
      <w:pPr>
        <w:ind w:firstLine="567"/>
        <w:jc w:val="both"/>
        <w:rPr>
          <w:rFonts w:ascii="Verdana" w:hAnsi="Verdana"/>
          <w:b/>
          <w:i/>
          <w:sz w:val="22"/>
          <w:szCs w:val="22"/>
        </w:rPr>
      </w:pPr>
      <w:bookmarkStart w:id="1" w:name="_GoBack"/>
      <w:bookmarkEnd w:id="1"/>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rsidR="00272058" w:rsidRDefault="00272058" w:rsidP="00C25C7D">
      <w:pPr>
        <w:pStyle w:val="a4"/>
        <w:ind w:firstLine="567"/>
        <w:jc w:val="both"/>
        <w:rPr>
          <w:rFonts w:ascii="Verdana" w:hAnsi="Verdana"/>
          <w:b/>
          <w:sz w:val="22"/>
          <w:szCs w:val="22"/>
          <w:lang w:val="ru-RU"/>
        </w:rPr>
      </w:pPr>
    </w:p>
    <w:p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rsidTr="003762DD">
        <w:trPr>
          <w:jc w:val="center"/>
        </w:trPr>
        <w:tc>
          <w:tcPr>
            <w:tcW w:w="4784" w:type="dxa"/>
          </w:tcPr>
          <w:p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Default="0051103E"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Pr="00C42749" w:rsidRDefault="0090788A"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8F789C" w:rsidRPr="00C42749" w:rsidRDefault="008F789C"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rsidR="00DD2B70" w:rsidRDefault="00DD2B70" w:rsidP="00103B32">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672EC8" w:rsidRPr="003762DD" w:rsidRDefault="00672EC8" w:rsidP="00672EC8">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rsidR="00672EC8" w:rsidRPr="003762DD" w:rsidRDefault="00672EC8" w:rsidP="00672EC8">
            <w:pPr>
              <w:tabs>
                <w:tab w:val="left" w:pos="9720"/>
              </w:tabs>
              <w:ind w:right="32"/>
              <w:jc w:val="both"/>
              <w:rPr>
                <w:rFonts w:ascii="Verdana" w:hAnsi="Verdana"/>
                <w:sz w:val="22"/>
                <w:szCs w:val="22"/>
              </w:rPr>
            </w:pPr>
          </w:p>
          <w:p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rsidR="00DD2B70" w:rsidRPr="003762DD" w:rsidRDefault="00DD2B70" w:rsidP="00103B32">
            <w:pPr>
              <w:tabs>
                <w:tab w:val="left" w:pos="9720"/>
              </w:tabs>
              <w:ind w:right="32"/>
              <w:jc w:val="both"/>
              <w:rPr>
                <w:rFonts w:ascii="Verdana" w:hAnsi="Verdana"/>
                <w:sz w:val="22"/>
                <w:szCs w:val="22"/>
              </w:rPr>
            </w:pPr>
          </w:p>
          <w:p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rsidR="00DD2B70" w:rsidRDefault="00DD2B70"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087" w:rsidRDefault="00E73087">
      <w:r>
        <w:separator/>
      </w:r>
    </w:p>
  </w:endnote>
  <w:endnote w:type="continuationSeparator" w:id="0">
    <w:p w:rsidR="00E73087" w:rsidRDefault="00E73087">
      <w:r>
        <w:continuationSeparator/>
      </w:r>
    </w:p>
  </w:endnote>
  <w:endnote w:type="continuationNotice" w:id="1">
    <w:p w:rsidR="00E73087" w:rsidRDefault="00E73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F8" w:rsidRDefault="00076E09" w:rsidP="00397F06">
    <w:pPr>
      <w:pStyle w:val="aa"/>
      <w:framePr w:wrap="around" w:vAnchor="text" w:hAnchor="margin" w:xAlign="right" w:y="1"/>
      <w:rPr>
        <w:rStyle w:val="ac"/>
      </w:rPr>
    </w:pPr>
    <w:r>
      <w:rPr>
        <w:rStyle w:val="ac"/>
      </w:rPr>
      <w:fldChar w:fldCharType="begin"/>
    </w:r>
    <w:r w:rsidR="00317AF8">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A1" w:rsidRPr="00BF60FB" w:rsidRDefault="00076E09">
    <w:pPr>
      <w:pStyle w:val="aa"/>
      <w:jc w:val="right"/>
      <w:rPr>
        <w:rFonts w:ascii="Calibri" w:hAnsi="Calibri"/>
      </w:rPr>
    </w:pPr>
    <w:r w:rsidRPr="00BF60FB">
      <w:rPr>
        <w:rFonts w:ascii="Calibri" w:hAnsi="Calibri"/>
      </w:rPr>
      <w:fldChar w:fldCharType="begin"/>
    </w:r>
    <w:r w:rsidR="007B01A1" w:rsidRPr="00BF60FB">
      <w:rPr>
        <w:rFonts w:ascii="Calibri" w:hAnsi="Calibri"/>
      </w:rPr>
      <w:instrText xml:space="preserve"> PAGE   \* MERGEFORMAT </w:instrText>
    </w:r>
    <w:r w:rsidRPr="00BF60FB">
      <w:rPr>
        <w:rFonts w:ascii="Calibri" w:hAnsi="Calibri"/>
      </w:rPr>
      <w:fldChar w:fldCharType="separate"/>
    </w:r>
    <w:r w:rsidR="00802DA4">
      <w:rPr>
        <w:rFonts w:ascii="Calibri" w:hAnsi="Calibri"/>
        <w:noProof/>
      </w:rPr>
      <w:t>20</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087" w:rsidRDefault="00E73087">
      <w:r>
        <w:separator/>
      </w:r>
    </w:p>
  </w:footnote>
  <w:footnote w:type="continuationSeparator" w:id="0">
    <w:p w:rsidR="00E73087" w:rsidRDefault="00E73087">
      <w:r>
        <w:continuationSeparator/>
      </w:r>
    </w:p>
  </w:footnote>
  <w:footnote w:type="continuationNotice" w:id="1">
    <w:p w:rsidR="00E73087" w:rsidRDefault="00E730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76E09"/>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1689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73D3"/>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061C8"/>
    <w:rsid w:val="002155CB"/>
    <w:rsid w:val="0022098C"/>
    <w:rsid w:val="00221DAC"/>
    <w:rsid w:val="00222820"/>
    <w:rsid w:val="00223B70"/>
    <w:rsid w:val="0022496E"/>
    <w:rsid w:val="00233683"/>
    <w:rsid w:val="00234797"/>
    <w:rsid w:val="0023639B"/>
    <w:rsid w:val="0023706E"/>
    <w:rsid w:val="0024081E"/>
    <w:rsid w:val="002512C4"/>
    <w:rsid w:val="00251A22"/>
    <w:rsid w:val="0025250C"/>
    <w:rsid w:val="00252E21"/>
    <w:rsid w:val="0025491D"/>
    <w:rsid w:val="00265465"/>
    <w:rsid w:val="002717D4"/>
    <w:rsid w:val="002718E8"/>
    <w:rsid w:val="00272058"/>
    <w:rsid w:val="00272F4D"/>
    <w:rsid w:val="00277D8E"/>
    <w:rsid w:val="002863F3"/>
    <w:rsid w:val="002904F0"/>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4AFB"/>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06F2"/>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1CD0"/>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3DF"/>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2DA4"/>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084"/>
    <w:rsid w:val="00BF4AE3"/>
    <w:rsid w:val="00BF57C2"/>
    <w:rsid w:val="00BF60FB"/>
    <w:rsid w:val="00C015AD"/>
    <w:rsid w:val="00C06920"/>
    <w:rsid w:val="00C07D8B"/>
    <w:rsid w:val="00C1312D"/>
    <w:rsid w:val="00C17BC0"/>
    <w:rsid w:val="00C25C7D"/>
    <w:rsid w:val="00C2640E"/>
    <w:rsid w:val="00C26711"/>
    <w:rsid w:val="00C27B5E"/>
    <w:rsid w:val="00C328D8"/>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73087"/>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FC9F9-E89A-422B-A864-99B029FD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641A5005-2F6C-4FAF-B9BA-A6B26A12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8388</Words>
  <Characters>47814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56090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Селютина Ольга Ивановна</cp:lastModifiedBy>
  <cp:revision>7</cp:revision>
  <cp:lastPrinted>2008-10-16T11:25:00Z</cp:lastPrinted>
  <dcterms:created xsi:type="dcterms:W3CDTF">2018-07-02T13:38:00Z</dcterms:created>
  <dcterms:modified xsi:type="dcterms:W3CDTF">2018-10-16T10:24:00Z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