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</w:t>
      </w:r>
      <w:bookmarkStart w:id="0" w:name="_GoBack"/>
      <w:bookmarkEnd w:id="0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0C1AC2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987/</w:t>
      </w:r>
      <w:proofErr w:type="gramStart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 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0C1AC2" w:rsidRPr="000C1AC2">
        <w:rPr>
          <w:rFonts w:ascii="Times New Roman" w:eastAsia="Calibri" w:hAnsi="Times New Roman" w:cs="Times New Roman"/>
          <w:b/>
          <w:sz w:val="24"/>
          <w:szCs w:val="24"/>
        </w:rPr>
        <w:t>«Модернизация схемы электроснабжения и автоматики насосов КНС-3 по ключ» для нужд Филиала «Сургутская ГРЭС-2» ПАО «Юнипро» в 2020 г.</w:t>
      </w:r>
      <w:r w:rsidR="00E81107" w:rsidRPr="000C1A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C0A5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9446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0E772-D620-4F33-B9F1-39128058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7</cp:revision>
  <cp:lastPrinted>2015-09-18T05:13:00Z</cp:lastPrinted>
  <dcterms:created xsi:type="dcterms:W3CDTF">2018-07-04T08:23:00Z</dcterms:created>
  <dcterms:modified xsi:type="dcterms:W3CDTF">2020-01-09T08:09:00Z</dcterms:modified>
</cp:coreProperties>
</file>