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71F0" w14:textId="77777777" w:rsidR="00866D68" w:rsidRPr="00A11DDF" w:rsidRDefault="00866D68" w:rsidP="00A11DDF">
      <w:pPr>
        <w:spacing w:before="0" w:after="0"/>
        <w:jc w:val="righ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Приложение №1</w:t>
      </w:r>
    </w:p>
    <w:p w14:paraId="521DD6E8" w14:textId="77777777" w:rsidR="00866D68" w:rsidRPr="00A11DDF" w:rsidRDefault="00866D68" w:rsidP="00A11DDF">
      <w:pPr>
        <w:spacing w:before="0" w:after="0"/>
        <w:jc w:val="righ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к техническому заданию</w:t>
      </w:r>
    </w:p>
    <w:p w14:paraId="522EFC3B" w14:textId="77777777" w:rsidR="00A11DDF" w:rsidRPr="00A11DDF" w:rsidRDefault="00A11DDF" w:rsidP="00A11DDF">
      <w:pPr>
        <w:pStyle w:val="ae"/>
        <w:contextualSpacing/>
        <w:jc w:val="right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>к Договору подряда №______________</w:t>
      </w:r>
    </w:p>
    <w:p w14:paraId="6847D468" w14:textId="77777777" w:rsidR="00A11DDF" w:rsidRPr="00A11DDF" w:rsidRDefault="00A11DDF" w:rsidP="00A11DDF">
      <w:pPr>
        <w:pStyle w:val="ae"/>
        <w:contextualSpacing/>
        <w:jc w:val="right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>от «____» ______________ 2020 г</w:t>
      </w:r>
    </w:p>
    <w:p w14:paraId="1596614A" w14:textId="77777777" w:rsidR="00866D68" w:rsidRPr="00A11DDF" w:rsidRDefault="00866D68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0"/>
        </w:rPr>
      </w:pPr>
    </w:p>
    <w:p w14:paraId="451F0808" w14:textId="77777777" w:rsidR="00615592" w:rsidRPr="00A11DDF" w:rsidRDefault="00615592" w:rsidP="00866D68">
      <w:pPr>
        <w:spacing w:after="0" w:line="260" w:lineRule="exact"/>
        <w:jc w:val="right"/>
        <w:rPr>
          <w:rFonts w:ascii="Arial" w:eastAsia="Verdana" w:hAnsi="Arial" w:cs="Arial"/>
          <w:color w:val="000000"/>
          <w:spacing w:val="-10"/>
          <w:sz w:val="20"/>
        </w:rPr>
      </w:pPr>
    </w:p>
    <w:p w14:paraId="528404EE" w14:textId="77777777" w:rsidR="00866D68" w:rsidRPr="00A11DDF" w:rsidRDefault="00866D68" w:rsidP="00866D68">
      <w:pPr>
        <w:spacing w:after="0" w:line="260" w:lineRule="exact"/>
        <w:jc w:val="center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b/>
          <w:color w:val="000000"/>
          <w:spacing w:val="-10"/>
          <w:sz w:val="20"/>
        </w:rPr>
        <w:t>Требования по охране труда</w:t>
      </w:r>
    </w:p>
    <w:p w14:paraId="2DBDF920" w14:textId="77777777" w:rsidR="00615592" w:rsidRPr="00A11DDF" w:rsidRDefault="00615592" w:rsidP="00866D68">
      <w:pPr>
        <w:spacing w:after="0" w:line="260" w:lineRule="exact"/>
        <w:jc w:val="center"/>
        <w:rPr>
          <w:rFonts w:ascii="Arial" w:eastAsia="Verdana" w:hAnsi="Arial" w:cs="Arial"/>
          <w:b/>
          <w:color w:val="000000"/>
          <w:spacing w:val="-10"/>
          <w:sz w:val="20"/>
        </w:rPr>
      </w:pPr>
    </w:p>
    <w:p w14:paraId="6C0B1238" w14:textId="77777777" w:rsidR="0098437A" w:rsidRPr="00A11DDF" w:rsidRDefault="0098437A" w:rsidP="00E5707D">
      <w:pPr>
        <w:pStyle w:val="a4"/>
        <w:numPr>
          <w:ilvl w:val="1"/>
          <w:numId w:val="3"/>
        </w:numPr>
        <w:spacing w:after="0" w:line="260" w:lineRule="exact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b/>
          <w:color w:val="000000"/>
          <w:spacing w:val="-10"/>
          <w:sz w:val="20"/>
        </w:rPr>
        <w:t>Требования к Подрядчику.</w:t>
      </w:r>
    </w:p>
    <w:p w14:paraId="7FC6E720" w14:textId="77777777" w:rsidR="0098437A" w:rsidRPr="00A11DDF" w:rsidRDefault="0098437A" w:rsidP="00E5707D">
      <w:pPr>
        <w:pStyle w:val="a4"/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0"/>
        </w:rPr>
      </w:pPr>
    </w:p>
    <w:p w14:paraId="0C9DAF57" w14:textId="77777777" w:rsidR="0098437A" w:rsidRPr="00A11DDF" w:rsidRDefault="0098437A" w:rsidP="00E5707D">
      <w:pPr>
        <w:pStyle w:val="a4"/>
        <w:numPr>
          <w:ilvl w:val="1"/>
          <w:numId w:val="4"/>
        </w:numPr>
        <w:spacing w:after="0" w:line="260" w:lineRule="exact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b/>
          <w:color w:val="000000"/>
          <w:spacing w:val="-10"/>
          <w:sz w:val="20"/>
        </w:rPr>
        <w:t>Обязательные требования:</w:t>
      </w:r>
    </w:p>
    <w:p w14:paraId="185C41B3" w14:textId="77777777" w:rsidR="0098437A" w:rsidRPr="00A11DDF" w:rsidRDefault="0098437A" w:rsidP="00E5707D">
      <w:pPr>
        <w:pStyle w:val="a4"/>
        <w:spacing w:after="0" w:line="260" w:lineRule="exact"/>
        <w:ind w:left="765" w:firstLine="0"/>
        <w:rPr>
          <w:rFonts w:ascii="Arial" w:eastAsia="Verdana" w:hAnsi="Arial" w:cs="Arial"/>
          <w:color w:val="000000"/>
          <w:spacing w:val="-10"/>
          <w:sz w:val="20"/>
        </w:rPr>
      </w:pPr>
    </w:p>
    <w:p w14:paraId="26512022" w14:textId="77777777" w:rsidR="0098437A" w:rsidRPr="00A11DDF" w:rsidRDefault="0098437A" w:rsidP="00E5707D">
      <w:pPr>
        <w:pStyle w:val="a4"/>
        <w:numPr>
          <w:ilvl w:val="2"/>
          <w:numId w:val="3"/>
        </w:numPr>
        <w:tabs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114A835C" w14:textId="77777777" w:rsidR="0098437A" w:rsidRPr="00A11DDF" w:rsidRDefault="0098437A" w:rsidP="00E5707D">
      <w:pPr>
        <w:numPr>
          <w:ilvl w:val="0"/>
          <w:numId w:val="2"/>
        </w:numPr>
        <w:tabs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работ на высоте</w:t>
      </w:r>
      <w:r w:rsidR="00A277AE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с применение средств </w:t>
      </w:r>
      <w:proofErr w:type="spellStart"/>
      <w:r w:rsidR="00A277AE" w:rsidRPr="00A11DDF">
        <w:rPr>
          <w:rFonts w:ascii="Arial" w:eastAsia="Verdana" w:hAnsi="Arial" w:cs="Arial"/>
          <w:color w:val="000000"/>
          <w:spacing w:val="-10"/>
          <w:sz w:val="20"/>
        </w:rPr>
        <w:t>подмащивания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(согласно требований действующих Правил по охране труда при работе на высоте, утвержденные Приказом Минтруда России от 28.03.2014 № 155н);</w:t>
      </w:r>
    </w:p>
    <w:p w14:paraId="729E0D14" w14:textId="77777777" w:rsidR="0098437A" w:rsidRPr="00A11DDF" w:rsidRDefault="0098437A" w:rsidP="00E5707D">
      <w:pPr>
        <w:numPr>
          <w:ilvl w:val="0"/>
          <w:numId w:val="2"/>
        </w:numPr>
        <w:tabs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работы с электроинструментом в соответствии с требованиями «Правилам безопасности при работе с инструментом и приспособлениями», утвержденные</w:t>
      </w:r>
      <w:r w:rsidRPr="00A11DDF">
        <w:rPr>
          <w:rFonts w:ascii="Arial" w:eastAsia="Verdana" w:hAnsi="Arial" w:cs="Arial"/>
          <w:spacing w:val="-10"/>
          <w:sz w:val="20"/>
        </w:rPr>
        <w:t xml:space="preserve"> </w:t>
      </w:r>
      <w:hyperlink r:id="rId5" w:history="1">
        <w:r w:rsidRPr="00A11DDF">
          <w:rPr>
            <w:rFonts w:ascii="Arial" w:eastAsia="Verdana" w:hAnsi="Arial" w:cs="Arial"/>
            <w:spacing w:val="-10"/>
            <w:sz w:val="20"/>
          </w:rPr>
          <w:t>Приказ</w:t>
        </w:r>
      </w:hyperlink>
      <w:r w:rsidRPr="00A11DDF">
        <w:rPr>
          <w:rFonts w:ascii="Arial" w:eastAsia="Verdana" w:hAnsi="Arial" w:cs="Arial"/>
          <w:color w:val="000000"/>
          <w:spacing w:val="-10"/>
          <w:sz w:val="20"/>
        </w:rPr>
        <w:t>ом Минтруда России от 17 августа 2015 г. N 552н,</w:t>
      </w:r>
    </w:p>
    <w:p w14:paraId="34689BFF" w14:textId="77777777" w:rsidR="00DA4D49" w:rsidRPr="00A11DDF" w:rsidRDefault="0098437A" w:rsidP="00E5707D">
      <w:pPr>
        <w:numPr>
          <w:ilvl w:val="0"/>
          <w:numId w:val="2"/>
        </w:num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пожароопасных работ;</w:t>
      </w:r>
    </w:p>
    <w:p w14:paraId="2C35567C" w14:textId="77777777" w:rsidR="00363E92" w:rsidRPr="00A11DDF" w:rsidRDefault="0098437A" w:rsidP="00E5707D">
      <w:pPr>
        <w:numPr>
          <w:ilvl w:val="0"/>
          <w:numId w:val="2"/>
        </w:num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работ с грузоподъёмными механизмами;</w:t>
      </w:r>
    </w:p>
    <w:p w14:paraId="1543AC84" w14:textId="77777777" w:rsidR="002401DB" w:rsidRPr="00A11DDF" w:rsidRDefault="00A277AE" w:rsidP="00E5707D">
      <w:pPr>
        <w:numPr>
          <w:ilvl w:val="0"/>
          <w:numId w:val="2"/>
        </w:num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работ в ограниченных и замкнутых пространствах. </w:t>
      </w:r>
    </w:p>
    <w:p w14:paraId="603DF2C8" w14:textId="77777777" w:rsidR="0098437A" w:rsidRPr="00A11DDF" w:rsidRDefault="00DA4D49" w:rsidP="00E5707D">
      <w:p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Ростехнадзор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</w:t>
      </w:r>
      <w:r w:rsidR="009462E7" w:rsidRPr="00A11DDF">
        <w:rPr>
          <w:rFonts w:ascii="Arial" w:eastAsia="Verdana" w:hAnsi="Arial" w:cs="Arial"/>
          <w:color w:val="000000"/>
          <w:spacing w:val="-10"/>
          <w:sz w:val="20"/>
        </w:rPr>
        <w:t>бот на опасных производственных объектах.</w:t>
      </w:r>
    </w:p>
    <w:p w14:paraId="4397D0A7" w14:textId="77777777" w:rsidR="009462E7" w:rsidRPr="00A11DDF" w:rsidRDefault="009462E7" w:rsidP="00E5707D">
      <w:pPr>
        <w:pStyle w:val="a4"/>
        <w:numPr>
          <w:ilvl w:val="2"/>
          <w:numId w:val="3"/>
        </w:numPr>
        <w:tabs>
          <w:tab w:val="left" w:pos="404"/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Наличие у Подрядчика (Исполнителя)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322C6305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• «Руководство по системе» </w:t>
      </w:r>
    </w:p>
    <w:p w14:paraId="6BDF942D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«Управление документацией»</w:t>
      </w:r>
    </w:p>
    <w:p w14:paraId="7B44689F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«Идентификация опасностей, оценки рисков и определения мер управления»</w:t>
      </w:r>
    </w:p>
    <w:p w14:paraId="0A6E99B8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«Управление записями»</w:t>
      </w:r>
    </w:p>
    <w:p w14:paraId="500BE85B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«Внутренний аудит»</w:t>
      </w:r>
    </w:p>
    <w:p w14:paraId="73DDD3F5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«Несоответствия. Корректирующие и предупреждающие действия»</w:t>
      </w:r>
    </w:p>
    <w:p w14:paraId="2019433C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«Порядок отчетности об инцидентах и их расследование»</w:t>
      </w:r>
    </w:p>
    <w:p w14:paraId="04351790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«Отчетность по системе»</w:t>
      </w:r>
    </w:p>
    <w:p w14:paraId="03D59CB9" w14:textId="77777777" w:rsidR="009462E7" w:rsidRPr="00A11DDF" w:rsidRDefault="009462E7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• «Анализ со стороны руководства»</w:t>
      </w:r>
    </w:p>
    <w:p w14:paraId="34EA1B88" w14:textId="77777777" w:rsidR="00E5707D" w:rsidRPr="00A11DDF" w:rsidRDefault="00E5707D" w:rsidP="00E5707D">
      <w:pPr>
        <w:pStyle w:val="a4"/>
        <w:tabs>
          <w:tab w:val="left" w:pos="404"/>
          <w:tab w:val="left" w:pos="1134"/>
        </w:tabs>
        <w:spacing w:after="0" w:line="260" w:lineRule="exact"/>
        <w:ind w:firstLine="0"/>
        <w:rPr>
          <w:rFonts w:ascii="Arial" w:eastAsia="Verdana" w:hAnsi="Arial" w:cs="Arial"/>
          <w:color w:val="000000"/>
          <w:spacing w:val="-10"/>
          <w:sz w:val="20"/>
        </w:rPr>
      </w:pPr>
    </w:p>
    <w:p w14:paraId="142EFE56" w14:textId="77777777" w:rsidR="00E5707D" w:rsidRPr="00A11DDF" w:rsidRDefault="00E5707D" w:rsidP="00923E79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Наличие у Подрядчика </w:t>
      </w:r>
      <w:proofErr w:type="gramStart"/>
      <w:r w:rsidRPr="00A11DDF">
        <w:rPr>
          <w:rFonts w:ascii="Arial" w:eastAsia="Verdana" w:hAnsi="Arial" w:cs="Arial"/>
          <w:color w:val="000000"/>
          <w:spacing w:val="-10"/>
          <w:sz w:val="20"/>
        </w:rPr>
        <w:t>постоянно-действующей</w:t>
      </w:r>
      <w:proofErr w:type="gram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микропредприятия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69DFD91F" w14:textId="77777777" w:rsidR="00E5707D" w:rsidRPr="00A11DDF" w:rsidRDefault="00E5707D" w:rsidP="00923E79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Наличие у Подрядчика специалиста по охране труда, имеющего профильное образование (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техносферная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техносферной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безопасности (подтверждено дипломом). Для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микропредприятия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4B9956B9" w14:textId="77777777" w:rsidR="00E5707D" w:rsidRPr="00A11DDF" w:rsidRDefault="00E5707D" w:rsidP="00923E79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lastRenderedPageBreak/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</w:t>
      </w:r>
    </w:p>
    <w:p w14:paraId="54A0D697" w14:textId="77777777" w:rsidR="00E5707D" w:rsidRPr="00A11DDF" w:rsidRDefault="00E5707D" w:rsidP="00E5707D">
      <w:pPr>
        <w:autoSpaceDE w:val="0"/>
        <w:autoSpaceDN w:val="0"/>
        <w:adjustRightInd w:val="0"/>
        <w:spacing w:before="0" w:after="0" w:line="260" w:lineRule="exact"/>
        <w:ind w:firstLine="0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При этом минимальный комплект средств индивидуальной защиты должен состоять из:</w:t>
      </w:r>
    </w:p>
    <w:p w14:paraId="39554176" w14:textId="77777777" w:rsidR="00E5707D" w:rsidRPr="00A11DDF" w:rsidRDefault="00E5707D" w:rsidP="00284F3B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Специальной одежды от общих производственных загрязнений (например, брюки или</w:t>
      </w:r>
      <w:r w:rsidR="00284F3B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полукомбинезон и куртка или комбинезон) с логотипом компании в зависимости от</w:t>
      </w:r>
      <w:r w:rsidR="00284F3B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сезона выполнения работ лето или зима;</w:t>
      </w:r>
    </w:p>
    <w:p w14:paraId="16BD2735" w14:textId="77777777" w:rsidR="00E5707D" w:rsidRPr="00A11DDF" w:rsidRDefault="00E5707D" w:rsidP="00284F3B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Специальная обувь (например, полуботинки, ботинки, сапоги и т.д.) в зависимости от</w:t>
      </w:r>
      <w:r w:rsidR="00284F3B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сезона выполнения работ лето или зима;</w:t>
      </w:r>
    </w:p>
    <w:p w14:paraId="7195DFD6" w14:textId="77777777" w:rsidR="00E5707D" w:rsidRPr="00A11DDF" w:rsidRDefault="00E5707D" w:rsidP="00284F3B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Защитная каска с подбородным ремнем;</w:t>
      </w:r>
    </w:p>
    <w:p w14:paraId="1DB90ECE" w14:textId="77777777" w:rsidR="00284F3B" w:rsidRPr="00A11DDF" w:rsidRDefault="00284F3B" w:rsidP="00284F3B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Защитные очки;</w:t>
      </w:r>
    </w:p>
    <w:p w14:paraId="5F79A444" w14:textId="77777777" w:rsidR="00284F3B" w:rsidRPr="00A11DDF" w:rsidRDefault="00E5707D" w:rsidP="00284F3B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Наушники.</w:t>
      </w:r>
    </w:p>
    <w:p w14:paraId="589F9DB7" w14:textId="77777777" w:rsidR="00284F3B" w:rsidRPr="00A11DDF" w:rsidRDefault="00E5707D" w:rsidP="00923E79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jc w:val="lef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В случае привлечения субподрядных организаций, Подрядчик обязан</w:t>
      </w:r>
      <w:r w:rsidR="00284F3B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предоставить документы привлекаемых субподрядных организаций в части работ, поручаемых</w:t>
      </w:r>
      <w:r w:rsidR="00284F3B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данным Субподрядчикам.</w:t>
      </w:r>
    </w:p>
    <w:p w14:paraId="7E726D96" w14:textId="77777777" w:rsidR="00E5707D" w:rsidRPr="00A11DDF" w:rsidRDefault="00E5707D" w:rsidP="00923E79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Информацию за подписью руководителя организации, подтверждающего наличие в</w:t>
      </w:r>
      <w:r w:rsidR="00284F3B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необходимом 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>к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оличестве обученного и аттестованного персонала для проведения всех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необходимых работ согласно ТЗ, копии удостоверений соответствующих работников, а также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обеспеченность персонала средствами индивидуальной защиты в соответствии с нормами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предоставляется Подрядчиком по форме приложения № 1 к настоящему ТЗ.</w:t>
      </w:r>
    </w:p>
    <w:p w14:paraId="06E31A38" w14:textId="77777777" w:rsidR="00923E79" w:rsidRPr="00A11DDF" w:rsidRDefault="00923E79" w:rsidP="00923E79">
      <w:pPr>
        <w:pStyle w:val="a4"/>
        <w:autoSpaceDE w:val="0"/>
        <w:autoSpaceDN w:val="0"/>
        <w:adjustRightInd w:val="0"/>
        <w:spacing w:before="0" w:after="0" w:line="260" w:lineRule="exact"/>
        <w:ind w:left="0" w:firstLine="0"/>
        <w:rPr>
          <w:rFonts w:ascii="Arial" w:eastAsia="Verdana" w:hAnsi="Arial" w:cs="Arial"/>
          <w:color w:val="000000"/>
          <w:spacing w:val="-10"/>
          <w:sz w:val="20"/>
        </w:rPr>
      </w:pPr>
    </w:p>
    <w:p w14:paraId="51717A3C" w14:textId="77777777" w:rsidR="00923E79" w:rsidRPr="00A11DDF" w:rsidRDefault="00E5707D" w:rsidP="00923E79">
      <w:pPr>
        <w:pStyle w:val="a4"/>
        <w:numPr>
          <w:ilvl w:val="1"/>
          <w:numId w:val="4"/>
        </w:numPr>
        <w:autoSpaceDE w:val="0"/>
        <w:autoSpaceDN w:val="0"/>
        <w:adjustRightInd w:val="0"/>
        <w:spacing w:before="0" w:after="0" w:line="260" w:lineRule="exact"/>
        <w:jc w:val="left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b/>
          <w:color w:val="000000"/>
          <w:spacing w:val="-10"/>
          <w:sz w:val="20"/>
        </w:rPr>
        <w:t xml:space="preserve"> Желательные требования:</w:t>
      </w:r>
    </w:p>
    <w:p w14:paraId="096B29DD" w14:textId="77777777" w:rsidR="00923E79" w:rsidRPr="00A11DDF" w:rsidRDefault="00923E79" w:rsidP="00923E79">
      <w:pPr>
        <w:pStyle w:val="a4"/>
        <w:autoSpaceDE w:val="0"/>
        <w:autoSpaceDN w:val="0"/>
        <w:adjustRightInd w:val="0"/>
        <w:spacing w:before="0" w:after="0" w:line="260" w:lineRule="exact"/>
        <w:ind w:left="765" w:firstLine="0"/>
        <w:jc w:val="left"/>
        <w:rPr>
          <w:rFonts w:ascii="Arial" w:eastAsia="Verdana" w:hAnsi="Arial" w:cs="Arial"/>
          <w:b/>
          <w:color w:val="000000"/>
          <w:spacing w:val="-10"/>
          <w:sz w:val="20"/>
        </w:rPr>
      </w:pPr>
    </w:p>
    <w:p w14:paraId="6F31C37F" w14:textId="77777777" w:rsidR="00923E79" w:rsidRPr="00A11DDF" w:rsidRDefault="00E5707D" w:rsidP="00923E79">
      <w:pPr>
        <w:pStyle w:val="a4"/>
        <w:numPr>
          <w:ilvl w:val="2"/>
          <w:numId w:val="4"/>
        </w:numPr>
        <w:autoSpaceDE w:val="0"/>
        <w:autoSpaceDN w:val="0"/>
        <w:adjustRightInd w:val="0"/>
        <w:spacing w:before="0" w:after="0" w:line="260" w:lineRule="exact"/>
        <w:ind w:left="0" w:firstLine="709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Желательно наличие у Подрядчика (Исполнителя) системы менеджмента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документально в соответствии с ГОСТ 12.0.230-2007. Межгосударственный стандарт. Система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стандартов безопасности труда. Системы управления охраной труда. Общие требования,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введенным в действие приказом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Ростехрегулирования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от 10.07.2007 № 169-ст, или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представление сертификата соответствия СУОТ на соответствие системе менеджмента OHSAS, а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также отчетов по предыдущему сертификационному или ре-сертификационном аудиту и отчета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по анализу со стороны руководства системы управления охраны труда за предыдущий период.</w:t>
      </w:r>
    </w:p>
    <w:p w14:paraId="6325D286" w14:textId="77777777" w:rsidR="009462E7" w:rsidRPr="00A11DDF" w:rsidRDefault="00E5707D" w:rsidP="00923E79">
      <w:pPr>
        <w:pStyle w:val="a4"/>
        <w:numPr>
          <w:ilvl w:val="2"/>
          <w:numId w:val="4"/>
        </w:numPr>
        <w:autoSpaceDE w:val="0"/>
        <w:autoSpaceDN w:val="0"/>
        <w:adjustRightInd w:val="0"/>
        <w:spacing w:before="0" w:after="0" w:line="260" w:lineRule="exact"/>
        <w:ind w:left="0" w:firstLine="709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Желат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>ельно отсутствие у Подрядчика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пострадавших при несчастных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случаях на производстве, подтверждается формами №7-травматизм, утвержденной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соответствующим приказом Росстата, за последние 3 года, заверенные статистическим органом.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Микропредприятия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(численностью до 15 человек) вместо формы №7-травматизм представляют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копию «Журнала регистрации несчастных случаев на производстве» за последние 3 года</w:t>
      </w:r>
      <w:r w:rsidR="00923E79" w:rsidRPr="00A11DDF">
        <w:rPr>
          <w:rFonts w:ascii="Arial" w:eastAsia="Verdana" w:hAnsi="Arial" w:cs="Arial"/>
          <w:color w:val="000000"/>
          <w:spacing w:val="-10"/>
          <w:sz w:val="20"/>
        </w:rPr>
        <w:t xml:space="preserve"> 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заверенную генеральным директором предприятия и печатью предприятия.</w:t>
      </w:r>
    </w:p>
    <w:p w14:paraId="3D0A5464" w14:textId="77777777" w:rsidR="00923E79" w:rsidRPr="00A11DDF" w:rsidRDefault="00923E79" w:rsidP="00923E79">
      <w:pPr>
        <w:autoSpaceDE w:val="0"/>
        <w:autoSpaceDN w:val="0"/>
        <w:adjustRightInd w:val="0"/>
        <w:spacing w:before="0" w:after="0" w:line="260" w:lineRule="exact"/>
        <w:ind w:firstLine="0"/>
        <w:rPr>
          <w:rFonts w:ascii="Arial" w:eastAsia="Verdana" w:hAnsi="Arial" w:cs="Arial"/>
          <w:b/>
          <w:color w:val="000000"/>
          <w:spacing w:val="-10"/>
          <w:sz w:val="20"/>
        </w:rPr>
      </w:pPr>
    </w:p>
    <w:p w14:paraId="505467E1" w14:textId="77777777" w:rsidR="00923E79" w:rsidRPr="00A11DDF" w:rsidRDefault="00923E79" w:rsidP="00923E79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b/>
          <w:color w:val="000000"/>
          <w:spacing w:val="-10"/>
          <w:sz w:val="20"/>
        </w:rPr>
        <w:t xml:space="preserve">Требования к выполнению работ </w:t>
      </w:r>
    </w:p>
    <w:p w14:paraId="5121FDA0" w14:textId="77777777" w:rsidR="004D20DD" w:rsidRPr="00A11DDF" w:rsidRDefault="004D20DD" w:rsidP="004D20DD">
      <w:pPr>
        <w:pStyle w:val="a4"/>
        <w:autoSpaceDE w:val="0"/>
        <w:autoSpaceDN w:val="0"/>
        <w:adjustRightInd w:val="0"/>
        <w:spacing w:before="0" w:after="0" w:line="260" w:lineRule="exact"/>
        <w:ind w:left="360" w:firstLine="0"/>
        <w:rPr>
          <w:rFonts w:ascii="Arial" w:eastAsia="Verdana" w:hAnsi="Arial" w:cs="Arial"/>
          <w:b/>
          <w:color w:val="000000"/>
          <w:spacing w:val="-10"/>
          <w:sz w:val="20"/>
        </w:rPr>
      </w:pPr>
    </w:p>
    <w:p w14:paraId="200BC9A1" w14:textId="77777777" w:rsidR="004D20DD" w:rsidRPr="00A11DDF" w:rsidRDefault="004D20DD" w:rsidP="004D20DD">
      <w:pPr>
        <w:pStyle w:val="a4"/>
        <w:numPr>
          <w:ilvl w:val="1"/>
          <w:numId w:val="4"/>
        </w:numPr>
        <w:tabs>
          <w:tab w:val="left" w:pos="993"/>
        </w:tabs>
        <w:spacing w:after="0" w:line="260" w:lineRule="exact"/>
        <w:ind w:left="0" w:firstLine="405"/>
        <w:outlineLvl w:val="0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7F42EB8B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«Правила технической эксплуатации нефтебаз» (утв. </w:t>
      </w:r>
      <w:hyperlink w:anchor="sub_0" w:history="1">
        <w:r w:rsidRPr="00A11DDF">
          <w:rPr>
            <w:rFonts w:ascii="Arial" w:eastAsia="Verdana" w:hAnsi="Arial" w:cs="Arial"/>
            <w:color w:val="000000"/>
            <w:spacing w:val="-10"/>
            <w:sz w:val="20"/>
          </w:rPr>
          <w:t>приказом</w:t>
        </w:r>
      </w:hyperlink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Минэнерго РФ от 19 июня 2003 г. № 232);</w:t>
      </w:r>
    </w:p>
    <w:p w14:paraId="45532D54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«Правила по охране труда при хранении, транспортировании и реализации нефтепродуктов», утв. </w:t>
      </w:r>
      <w:proofErr w:type="gramStart"/>
      <w:r w:rsidRPr="00A11DDF">
        <w:rPr>
          <w:rFonts w:ascii="Arial" w:eastAsia="Verdana" w:hAnsi="Arial" w:cs="Arial"/>
          <w:color w:val="000000"/>
          <w:spacing w:val="-10"/>
          <w:sz w:val="20"/>
        </w:rPr>
        <w:t>Приказом  Министерства</w:t>
      </w:r>
      <w:proofErr w:type="gram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труда и социальной защиты РФ от 16 ноября 2015 г. № 873;</w:t>
      </w:r>
    </w:p>
    <w:p w14:paraId="22FED6D8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ГОСТ 8.346-2000 «Резервуары стальные горизонтальные цилиндрические. Методика поверки»;</w:t>
      </w:r>
    </w:p>
    <w:p w14:paraId="2584E274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ГОСТ 8.570-2000 «Резервуары стальные вертикальные цилиндрические. Методика поверки»;</w:t>
      </w:r>
    </w:p>
    <w:p w14:paraId="75F048A4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ГОСТ 1510 «Нефть и нефтепродукты. Маркировка, упаковка, транспортирование и хранение»;</w:t>
      </w:r>
    </w:p>
    <w:p w14:paraId="1E1FA6E1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«Инструкции по зачистке резервуаров от остатков нефтепродуктов», утв. Приказом ОАО НК «Роснефть» от 28.01.2004 г.;</w:t>
      </w:r>
    </w:p>
    <w:p w14:paraId="3F51BD69" w14:textId="77777777" w:rsidR="004D20DD" w:rsidRPr="00A11DDF" w:rsidRDefault="004D20DD" w:rsidP="004D20DD">
      <w:pPr>
        <w:pStyle w:val="a4"/>
        <w:numPr>
          <w:ilvl w:val="0"/>
          <w:numId w:val="7"/>
        </w:numPr>
        <w:spacing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Правила организации технического обслуживания и ремонта объектов электроэнергетики», утверждены Приказом Мин</w:t>
      </w:r>
      <w:r w:rsidRPr="00A11DDF">
        <w:rPr>
          <w:rFonts w:ascii="Arial" w:eastAsia="Verdana" w:hAnsi="Arial" w:cs="Arial"/>
          <w:spacing w:val="-10"/>
          <w:sz w:val="20"/>
        </w:rPr>
        <w:t>э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t>нерго России № 1013 от 25.10.2017г;</w:t>
      </w:r>
    </w:p>
    <w:p w14:paraId="3DDC3D69" w14:textId="77777777" w:rsidR="004D20DD" w:rsidRPr="00A11DDF" w:rsidRDefault="004D20DD" w:rsidP="004D20DD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14:paraId="452CBDEF" w14:textId="77777777" w:rsidR="004D20DD" w:rsidRPr="00A11DDF" w:rsidRDefault="004D20DD" w:rsidP="004D20DD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607F5D07" w14:textId="77777777" w:rsidR="004D20DD" w:rsidRPr="00A11DDF" w:rsidRDefault="004D20DD" w:rsidP="004D20DD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lastRenderedPageBreak/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Ростехнадзора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от 12.11.2013 № 533;</w:t>
      </w:r>
    </w:p>
    <w:p w14:paraId="1120C244" w14:textId="77777777" w:rsidR="004D20DD" w:rsidRPr="00A11DDF" w:rsidRDefault="004D20DD" w:rsidP="004D20DD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Правила по охране труда при работе на высоте, утвержденные Приказом Минтруда России от 28.03.2014 № 155н;</w:t>
      </w:r>
    </w:p>
    <w:p w14:paraId="30C973AF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14:paraId="3B67D744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19BA2B9D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Юнипро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» (СТО №ОТиБП-С.20);</w:t>
      </w:r>
    </w:p>
    <w:p w14:paraId="1627ECB2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Стандарт «Общественная безопасность» (СТО №№ОТиБП-С.15);</w:t>
      </w:r>
    </w:p>
    <w:p w14:paraId="14B02728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Технический регламент «О применении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безасбестовых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уплотнительных материалов»</w:t>
      </w:r>
    </w:p>
    <w:p w14:paraId="44DAEFBD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Инструкция «О мерах пожарной безопасности на Филиале «Березовская ГРЭС» ПАО «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Юнипро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» (ИПБ-ОНПиЭБ-01), утверждённой 24.08.2017г.;</w:t>
      </w:r>
    </w:p>
    <w:p w14:paraId="1E2C0712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Инструкция «О порядке подготовки и организации проведения пожароопасных работ в цехах, помещениях и на территории филиала «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Берёзовская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ГРЭС» ПАО «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Юнипро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» (ИПБ-ОНПиЭБ-02») от 16.02.2018г.</w:t>
      </w:r>
    </w:p>
    <w:p w14:paraId="1A17F61D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Производственная инструкция «О назначении, кратких характеристиках, принципах работы оборудования пожарной сигнализации, дополнительных мерах безопасности при проведении огневых работ в зданиях, сооружениях и помещениях, оборудованных пожарной сигнализацией», ПИ-ОИТ-02;</w:t>
      </w:r>
    </w:p>
    <w:p w14:paraId="24496F55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3040DD95" w14:textId="77777777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Берёзовская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 ГРЭС»;</w:t>
      </w:r>
    </w:p>
    <w:p w14:paraId="43815E77" w14:textId="0EB902CC" w:rsidR="004D20DD" w:rsidRPr="00A11DDF" w:rsidRDefault="004D20DD" w:rsidP="004D20DD">
      <w:pPr>
        <w:numPr>
          <w:ilvl w:val="0"/>
          <w:numId w:val="7"/>
        </w:numPr>
        <w:tabs>
          <w:tab w:val="left" w:pos="851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ППРк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ППРк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, ТК п/р работ.</w:t>
      </w:r>
    </w:p>
    <w:p w14:paraId="009AF7AE" w14:textId="2C66CAFA" w:rsidR="00CC0F3F" w:rsidRPr="00A11DDF" w:rsidRDefault="00263FA7" w:rsidP="00CC0F3F">
      <w:pPr>
        <w:pStyle w:val="a4"/>
        <w:numPr>
          <w:ilvl w:val="0"/>
          <w:numId w:val="7"/>
        </w:numPr>
        <w:shd w:val="clear" w:color="auto" w:fill="FFFFFF"/>
        <w:spacing w:after="200" w:line="276" w:lineRule="auto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>Стандарт организации. «Порядок проведения оценки рисков до начала выполнения работ по нарядам-допускам и динамической оценки рисков в процессе выполнения работ в ПАО «</w:t>
      </w:r>
      <w:proofErr w:type="spellStart"/>
      <w:r w:rsidRPr="00A11DDF">
        <w:rPr>
          <w:rFonts w:ascii="Arial" w:hAnsi="Arial" w:cs="Arial"/>
          <w:sz w:val="20"/>
        </w:rPr>
        <w:t>Юнипро</w:t>
      </w:r>
      <w:proofErr w:type="spellEnd"/>
      <w:r w:rsidRPr="00A11DDF">
        <w:rPr>
          <w:rFonts w:ascii="Arial" w:hAnsi="Arial" w:cs="Arial"/>
          <w:sz w:val="20"/>
        </w:rPr>
        <w:t xml:space="preserve">»» (СТО № </w:t>
      </w:r>
      <w:proofErr w:type="spellStart"/>
      <w:r w:rsidRPr="00A11DDF">
        <w:rPr>
          <w:rFonts w:ascii="Arial" w:hAnsi="Arial" w:cs="Arial"/>
          <w:sz w:val="20"/>
        </w:rPr>
        <w:t>ОТиБ</w:t>
      </w:r>
      <w:r w:rsidR="00CC0F3F" w:rsidRPr="00A11DDF">
        <w:rPr>
          <w:rFonts w:ascii="Arial" w:hAnsi="Arial" w:cs="Arial"/>
          <w:sz w:val="20"/>
        </w:rPr>
        <w:t>П</w:t>
      </w:r>
      <w:proofErr w:type="spellEnd"/>
      <w:r w:rsidR="00CC0F3F" w:rsidRPr="00A11DDF">
        <w:rPr>
          <w:rFonts w:ascii="Arial" w:hAnsi="Arial" w:cs="Arial"/>
          <w:sz w:val="20"/>
        </w:rPr>
        <w:t xml:space="preserve"> – П.24).</w:t>
      </w:r>
    </w:p>
    <w:p w14:paraId="49F7AC62" w14:textId="689720E9" w:rsidR="00263FA7" w:rsidRPr="00A11DDF" w:rsidRDefault="00263FA7" w:rsidP="00CC0F3F">
      <w:pPr>
        <w:pStyle w:val="a4"/>
        <w:numPr>
          <w:ilvl w:val="0"/>
          <w:numId w:val="7"/>
        </w:numPr>
        <w:shd w:val="clear" w:color="auto" w:fill="FFFFFF"/>
        <w:spacing w:after="200" w:line="276" w:lineRule="auto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 xml:space="preserve">Стандарт организации </w:t>
      </w:r>
      <w:proofErr w:type="spellStart"/>
      <w:r w:rsidRPr="00A11DDF">
        <w:rPr>
          <w:rFonts w:ascii="Arial" w:hAnsi="Arial" w:cs="Arial"/>
          <w:sz w:val="20"/>
        </w:rPr>
        <w:t>СМОЗиБТ</w:t>
      </w:r>
      <w:proofErr w:type="spellEnd"/>
      <w:r w:rsidRPr="00A11DDF">
        <w:rPr>
          <w:rFonts w:ascii="Arial" w:hAnsi="Arial" w:cs="Arial"/>
          <w:sz w:val="20"/>
        </w:rPr>
        <w:t>. Правила безопасности при работе на высоте(СО-СОТТА-13)</w:t>
      </w:r>
      <w:r w:rsidR="00CC0F3F" w:rsidRPr="00A11DDF">
        <w:rPr>
          <w:rFonts w:ascii="Arial" w:hAnsi="Arial" w:cs="Arial"/>
          <w:sz w:val="20"/>
        </w:rPr>
        <w:t>.</w:t>
      </w:r>
    </w:p>
    <w:p w14:paraId="3D9CF6E8" w14:textId="288584EC" w:rsidR="00263FA7" w:rsidRPr="00A11DDF" w:rsidRDefault="00263FA7" w:rsidP="00CC0F3F">
      <w:pPr>
        <w:pStyle w:val="a4"/>
        <w:numPr>
          <w:ilvl w:val="0"/>
          <w:numId w:val="7"/>
        </w:numPr>
        <w:shd w:val="clear" w:color="auto" w:fill="FFFFFF"/>
        <w:spacing w:before="0" w:after="200" w:line="276" w:lineRule="auto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 xml:space="preserve">Стандарт организации </w:t>
      </w:r>
      <w:proofErr w:type="spellStart"/>
      <w:r w:rsidRPr="00A11DDF">
        <w:rPr>
          <w:rFonts w:ascii="Arial" w:hAnsi="Arial" w:cs="Arial"/>
          <w:sz w:val="20"/>
        </w:rPr>
        <w:t>СМОЗиБТ</w:t>
      </w:r>
      <w:proofErr w:type="spellEnd"/>
      <w:r w:rsidRPr="00A11DDF">
        <w:rPr>
          <w:rFonts w:ascii="Arial" w:hAnsi="Arial" w:cs="Arial"/>
          <w:sz w:val="20"/>
        </w:rPr>
        <w:t xml:space="preserve"> Правила безопасности при работе с подъемными сооружениями (СО-СОТТА-28)</w:t>
      </w:r>
      <w:r w:rsidR="00CC0F3F" w:rsidRPr="00A11DDF">
        <w:rPr>
          <w:rFonts w:ascii="Arial" w:hAnsi="Arial" w:cs="Arial"/>
          <w:sz w:val="20"/>
        </w:rPr>
        <w:t>.</w:t>
      </w:r>
    </w:p>
    <w:p w14:paraId="49B8EAD0" w14:textId="7F14665F" w:rsidR="00263FA7" w:rsidRPr="00A11DDF" w:rsidRDefault="00263FA7" w:rsidP="00CC0F3F">
      <w:pPr>
        <w:pStyle w:val="a4"/>
        <w:numPr>
          <w:ilvl w:val="0"/>
          <w:numId w:val="7"/>
        </w:numPr>
        <w:shd w:val="clear" w:color="auto" w:fill="FFFFFF"/>
        <w:spacing w:before="0" w:after="200" w:line="276" w:lineRule="auto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 xml:space="preserve">Стандарт </w:t>
      </w:r>
      <w:proofErr w:type="spellStart"/>
      <w:r w:rsidRPr="00A11DDF">
        <w:rPr>
          <w:rFonts w:ascii="Arial" w:hAnsi="Arial" w:cs="Arial"/>
          <w:sz w:val="20"/>
        </w:rPr>
        <w:t>СМОЗиБТ</w:t>
      </w:r>
      <w:proofErr w:type="spellEnd"/>
      <w:r w:rsidRPr="00A11DDF">
        <w:rPr>
          <w:rFonts w:ascii="Arial" w:hAnsi="Arial" w:cs="Arial"/>
          <w:sz w:val="20"/>
        </w:rPr>
        <w:t xml:space="preserve"> «Управление безопасностью электрических сетей» (СТО № ОТиБП-С.12)</w:t>
      </w:r>
      <w:r w:rsidR="00CC0F3F" w:rsidRPr="00A11DDF">
        <w:rPr>
          <w:rFonts w:ascii="Arial" w:hAnsi="Arial" w:cs="Arial"/>
          <w:sz w:val="20"/>
        </w:rPr>
        <w:t>.</w:t>
      </w:r>
    </w:p>
    <w:p w14:paraId="6AAD0EB8" w14:textId="6C16C4F4" w:rsidR="00263FA7" w:rsidRPr="00A11DDF" w:rsidRDefault="00263FA7" w:rsidP="00CC0F3F">
      <w:pPr>
        <w:pStyle w:val="a4"/>
        <w:numPr>
          <w:ilvl w:val="0"/>
          <w:numId w:val="7"/>
        </w:numPr>
        <w:shd w:val="clear" w:color="auto" w:fill="FFFFFF"/>
        <w:spacing w:before="0" w:after="200" w:line="276" w:lineRule="auto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 xml:space="preserve">Стандарт организации. </w:t>
      </w:r>
      <w:proofErr w:type="spellStart"/>
      <w:r w:rsidRPr="00A11DDF">
        <w:rPr>
          <w:rFonts w:ascii="Arial" w:hAnsi="Arial" w:cs="Arial"/>
          <w:sz w:val="20"/>
        </w:rPr>
        <w:t>СМОЗиБТ</w:t>
      </w:r>
      <w:proofErr w:type="spellEnd"/>
      <w:r w:rsidRPr="00A11DDF">
        <w:rPr>
          <w:rFonts w:ascii="Arial" w:hAnsi="Arial" w:cs="Arial"/>
          <w:sz w:val="20"/>
        </w:rPr>
        <w:t>. Порядок отчетности об инцидентах и их расследование (СТО №БОТиБП-П.16)</w:t>
      </w:r>
      <w:r w:rsidR="00CC0F3F" w:rsidRPr="00A11DDF">
        <w:rPr>
          <w:rFonts w:ascii="Arial" w:hAnsi="Arial" w:cs="Arial"/>
          <w:sz w:val="20"/>
        </w:rPr>
        <w:t>.</w:t>
      </w:r>
    </w:p>
    <w:p w14:paraId="2A66CB59" w14:textId="5EF48FB4" w:rsidR="001F2760" w:rsidRPr="00A11DDF" w:rsidRDefault="00CC0F3F" w:rsidP="00CC0F3F">
      <w:pPr>
        <w:pStyle w:val="a4"/>
        <w:numPr>
          <w:ilvl w:val="0"/>
          <w:numId w:val="7"/>
        </w:numPr>
        <w:shd w:val="clear" w:color="auto" w:fill="FFFFFF"/>
        <w:spacing w:before="0" w:after="200" w:line="276" w:lineRule="auto"/>
        <w:rPr>
          <w:rFonts w:ascii="Arial" w:hAnsi="Arial" w:cs="Arial"/>
          <w:sz w:val="20"/>
        </w:rPr>
      </w:pPr>
      <w:r w:rsidRPr="00A11DDF">
        <w:rPr>
          <w:rFonts w:ascii="Arial" w:hAnsi="Arial" w:cs="Arial"/>
          <w:sz w:val="20"/>
        </w:rPr>
        <w:t>Техника безопасности при вождении транспортных средств (РО-СОТТА-21).</w:t>
      </w:r>
    </w:p>
    <w:p w14:paraId="4493DC24" w14:textId="77777777" w:rsidR="001F2760" w:rsidRPr="00A11DDF" w:rsidRDefault="001F2760" w:rsidP="001F2760">
      <w:pPr>
        <w:pStyle w:val="a4"/>
        <w:numPr>
          <w:ilvl w:val="1"/>
          <w:numId w:val="4"/>
        </w:numPr>
        <w:autoSpaceDE w:val="0"/>
        <w:autoSpaceDN w:val="0"/>
        <w:adjustRightInd w:val="0"/>
        <w:spacing w:before="0" w:after="0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т.ч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электробезопасности, а также лиц ответственных за охрану труда (специалист по охране труда).</w:t>
      </w:r>
    </w:p>
    <w:p w14:paraId="77711D80" w14:textId="77777777" w:rsidR="001F2760" w:rsidRPr="00A11DDF" w:rsidRDefault="001F2760" w:rsidP="001F2760">
      <w:pPr>
        <w:pStyle w:val="a4"/>
        <w:numPr>
          <w:ilvl w:val="1"/>
          <w:numId w:val="4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0"/>
        </w:rPr>
      </w:pPr>
      <w:r w:rsidRPr="00A11DDF">
        <w:rPr>
          <w:rFonts w:ascii="Arial" w:eastAsia="Verdana" w:hAnsi="Arial" w:cs="Arial"/>
          <w:color w:val="000000"/>
          <w:spacing w:val="-10"/>
          <w:sz w:val="20"/>
        </w:rPr>
        <w:t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(Исполнителя) от 10-ти человек до 50-ти вклю</w:t>
      </w:r>
      <w:r w:rsidRPr="00A11DDF">
        <w:rPr>
          <w:rFonts w:ascii="Arial" w:eastAsia="Verdana" w:hAnsi="Arial" w:cs="Arial"/>
          <w:color w:val="000000"/>
          <w:spacing w:val="-10"/>
          <w:sz w:val="20"/>
        </w:rPr>
        <w:lastRenderedPageBreak/>
        <w:t xml:space="preserve">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A11DDF">
        <w:rPr>
          <w:rFonts w:ascii="Arial" w:eastAsia="Verdana" w:hAnsi="Arial" w:cs="Arial"/>
          <w:color w:val="000000"/>
          <w:spacing w:val="-10"/>
          <w:sz w:val="20"/>
        </w:rPr>
        <w:t>т.ч</w:t>
      </w:r>
      <w:proofErr w:type="spellEnd"/>
      <w:r w:rsidRPr="00A11DDF">
        <w:rPr>
          <w:rFonts w:ascii="Arial" w:eastAsia="Verdana" w:hAnsi="Arial" w:cs="Arial"/>
          <w:color w:val="000000"/>
          <w:spacing w:val="-10"/>
          <w:sz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4985C231" w14:textId="77777777" w:rsidR="00DC5620" w:rsidRPr="00A11DDF" w:rsidRDefault="00DC5620" w:rsidP="00DC562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</w:p>
    <w:p w14:paraId="2B77B409" w14:textId="77777777" w:rsidR="00DC5620" w:rsidRPr="00A11DDF" w:rsidRDefault="00DC5620" w:rsidP="00DC562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</w:p>
    <w:p w14:paraId="2A4275C4" w14:textId="77777777" w:rsidR="00DC5620" w:rsidRPr="00A11DDF" w:rsidRDefault="00DC5620" w:rsidP="00DC562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</w:p>
    <w:p w14:paraId="52ACB865" w14:textId="77777777" w:rsidR="001F2760" w:rsidRPr="00A11DDF" w:rsidRDefault="001F2760" w:rsidP="001F276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</w:p>
    <w:tbl>
      <w:tblPr>
        <w:tblW w:w="9370" w:type="dxa"/>
        <w:tblInd w:w="108" w:type="dxa"/>
        <w:tblLook w:val="04A0" w:firstRow="1" w:lastRow="0" w:firstColumn="1" w:lastColumn="0" w:noHBand="0" w:noVBand="1"/>
      </w:tblPr>
      <w:tblGrid>
        <w:gridCol w:w="4749"/>
        <w:gridCol w:w="4621"/>
      </w:tblGrid>
      <w:tr w:rsidR="00A11DDF" w:rsidRPr="00B53384" w14:paraId="601BC2C2" w14:textId="77777777" w:rsidTr="002755A7">
        <w:trPr>
          <w:trHeight w:val="97"/>
        </w:trPr>
        <w:tc>
          <w:tcPr>
            <w:tcW w:w="4749" w:type="dxa"/>
          </w:tcPr>
          <w:p w14:paraId="66B8C714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</w:p>
          <w:p w14:paraId="59BA46CC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2271">
              <w:rPr>
                <w:rFonts w:ascii="Arial" w:hAnsi="Arial" w:cs="Arial"/>
                <w:b/>
                <w:sz w:val="20"/>
                <w:szCs w:val="20"/>
              </w:rPr>
              <w:t>ПОДРЯДЧИК:</w:t>
            </w:r>
          </w:p>
          <w:p w14:paraId="5A3AD59A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215874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B1603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82996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2271"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  <w:r w:rsidRPr="00E12271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778037AE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271"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  <w:r w:rsidRPr="00E122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21" w:type="dxa"/>
          </w:tcPr>
          <w:p w14:paraId="0CE514C9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B1F30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1026"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2271">
              <w:rPr>
                <w:rFonts w:ascii="Arial" w:hAnsi="Arial" w:cs="Arial"/>
                <w:b/>
                <w:sz w:val="20"/>
                <w:szCs w:val="20"/>
              </w:rPr>
              <w:t>ЗАКАЗЧИК:</w:t>
            </w:r>
          </w:p>
          <w:p w14:paraId="01C848D0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1026" w:right="-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2271">
              <w:rPr>
                <w:rFonts w:ascii="Arial" w:hAnsi="Arial" w:cs="Arial"/>
                <w:b/>
                <w:sz w:val="20"/>
                <w:szCs w:val="20"/>
              </w:rPr>
              <w:t>ПАО «</w:t>
            </w:r>
            <w:proofErr w:type="spellStart"/>
            <w:r w:rsidRPr="00E12271">
              <w:rPr>
                <w:rFonts w:ascii="Arial" w:hAnsi="Arial" w:cs="Arial"/>
                <w:b/>
                <w:sz w:val="20"/>
                <w:szCs w:val="20"/>
              </w:rPr>
              <w:t>Юнипро</w:t>
            </w:r>
            <w:proofErr w:type="spellEnd"/>
            <w:r w:rsidRPr="00E1227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7B9DF4E7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93B9A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1026"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07343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1026"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2271">
              <w:rPr>
                <w:rFonts w:ascii="Arial" w:hAnsi="Arial" w:cs="Arial"/>
                <w:b/>
                <w:sz w:val="20"/>
                <w:szCs w:val="20"/>
              </w:rPr>
              <w:t>___________________</w:t>
            </w:r>
          </w:p>
          <w:p w14:paraId="6052B5F8" w14:textId="77777777" w:rsidR="00A11DDF" w:rsidRPr="00E12271" w:rsidRDefault="00A11DDF" w:rsidP="002755A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792" w:right="-24" w:hanging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3852DCAB" w14:textId="77777777" w:rsidR="001F2760" w:rsidRPr="00A11DDF" w:rsidRDefault="001F2760" w:rsidP="001F2760">
      <w:p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0"/>
        </w:rPr>
      </w:pPr>
    </w:p>
    <w:sectPr w:rsidR="001F2760" w:rsidRPr="00A1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C2D"/>
    <w:multiLevelType w:val="multilevel"/>
    <w:tmpl w:val="79CCFFC8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05E1074"/>
    <w:multiLevelType w:val="multilevel"/>
    <w:tmpl w:val="207447D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20748A2"/>
    <w:multiLevelType w:val="multilevel"/>
    <w:tmpl w:val="12B63E8C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2E75631"/>
    <w:multiLevelType w:val="hybridMultilevel"/>
    <w:tmpl w:val="A3A2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8D7C7E"/>
    <w:multiLevelType w:val="multilevel"/>
    <w:tmpl w:val="6ED8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6" w15:restartNumberingAfterBreak="0">
    <w:nsid w:val="5B0061BE"/>
    <w:multiLevelType w:val="hybridMultilevel"/>
    <w:tmpl w:val="F47A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A08F6"/>
    <w:multiLevelType w:val="hybridMultilevel"/>
    <w:tmpl w:val="018C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C03A9"/>
    <w:multiLevelType w:val="multilevel"/>
    <w:tmpl w:val="A58EDD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A"/>
    <w:rsid w:val="000048B8"/>
    <w:rsid w:val="00015B5E"/>
    <w:rsid w:val="001F2760"/>
    <w:rsid w:val="002401DB"/>
    <w:rsid w:val="00263FA7"/>
    <w:rsid w:val="00284F3B"/>
    <w:rsid w:val="003C5A8E"/>
    <w:rsid w:val="004B252D"/>
    <w:rsid w:val="004D20DD"/>
    <w:rsid w:val="00615592"/>
    <w:rsid w:val="007346E4"/>
    <w:rsid w:val="007F5107"/>
    <w:rsid w:val="00866D68"/>
    <w:rsid w:val="00923E79"/>
    <w:rsid w:val="00941386"/>
    <w:rsid w:val="009462E7"/>
    <w:rsid w:val="0098437A"/>
    <w:rsid w:val="00A11DDF"/>
    <w:rsid w:val="00A277AE"/>
    <w:rsid w:val="00CC0F3F"/>
    <w:rsid w:val="00D92CC2"/>
    <w:rsid w:val="00DA4D49"/>
    <w:rsid w:val="00DC5620"/>
    <w:rsid w:val="00DC5D99"/>
    <w:rsid w:val="00E13499"/>
    <w:rsid w:val="00E5707D"/>
    <w:rsid w:val="00E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45A9D"/>
  <w15:chartTrackingRefBased/>
  <w15:docId w15:val="{E6A5C0F7-0DE5-4F0C-BB27-B6DA3D6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437A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8437A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locked/>
    <w:rsid w:val="004D20DD"/>
    <w:rPr>
      <w:rFonts w:ascii="Verdana" w:eastAsia="Times New Roman" w:hAnsi="Verdana" w:cs="Tahoma"/>
      <w:sz w:val="18"/>
      <w:szCs w:val="20"/>
    </w:rPr>
  </w:style>
  <w:style w:type="table" w:styleId="a6">
    <w:name w:val="Table Grid"/>
    <w:basedOn w:val="a2"/>
    <w:uiPriority w:val="39"/>
    <w:rsid w:val="001F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unhideWhenUsed/>
    <w:rsid w:val="003C5A8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C5A8E"/>
    <w:rPr>
      <w:sz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C5A8E"/>
    <w:rPr>
      <w:rFonts w:ascii="Verdana" w:eastAsia="Times New Roman" w:hAnsi="Verdana" w:cs="Tahoma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5A8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5A8E"/>
    <w:rPr>
      <w:rFonts w:ascii="Verdana" w:eastAsia="Times New Roman" w:hAnsi="Verdana" w:cs="Tahoma"/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3C5A8E"/>
    <w:pPr>
      <w:spacing w:before="0" w:after="0"/>
    </w:pPr>
    <w:rPr>
      <w:rFonts w:ascii="Segoe UI" w:hAnsi="Segoe UI" w:cs="Segoe UI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C5A8E"/>
    <w:rPr>
      <w:rFonts w:ascii="Segoe UI" w:eastAsia="Times New Roman" w:hAnsi="Segoe UI" w:cs="Segoe UI"/>
      <w:sz w:val="18"/>
      <w:szCs w:val="18"/>
    </w:rPr>
  </w:style>
  <w:style w:type="paragraph" w:customStyle="1" w:styleId="a">
    <w:name w:val="Список нумерованный"/>
    <w:basedOn w:val="a0"/>
    <w:rsid w:val="00A11DDF"/>
    <w:pPr>
      <w:numPr>
        <w:numId w:val="9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styleId="ae">
    <w:name w:val="No Spacing"/>
    <w:link w:val="af"/>
    <w:uiPriority w:val="1"/>
    <w:qFormat/>
    <w:rsid w:val="00A11DDF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customStyle="1" w:styleId="af">
    <w:name w:val="Без интервала Знак"/>
    <w:link w:val="ae"/>
    <w:uiPriority w:val="1"/>
    <w:rsid w:val="00A11DDF"/>
    <w:rPr>
      <w:rFonts w:ascii="Verdana" w:eastAsia="Times New Roman" w:hAnsi="Verdana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016BFD977325403344561E9FA5D5A7B70BB1BBD114037E679AE55AC5r4o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Дробушевский Александр Маркович</dc:creator>
  <cp:keywords/>
  <dc:description/>
  <cp:lastModifiedBy>Тарелко Алена Викторовна</cp:lastModifiedBy>
  <cp:revision>3</cp:revision>
  <cp:lastPrinted>2018-12-24T09:49:00Z</cp:lastPrinted>
  <dcterms:created xsi:type="dcterms:W3CDTF">2019-11-08T01:28:00Z</dcterms:created>
  <dcterms:modified xsi:type="dcterms:W3CDTF">2020-01-21T09:19:00Z</dcterms:modified>
</cp:coreProperties>
</file>