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D4655">
        <w:rPr>
          <w:rFonts w:ascii="Arial" w:hAnsi="Arial" w:cs="Arial"/>
          <w:color w:val="000000"/>
          <w:sz w:val="24"/>
          <w:szCs w:val="24"/>
        </w:rPr>
        <w:t>1</w:t>
      </w:r>
      <w:r w:rsidR="00C26E91">
        <w:rPr>
          <w:rFonts w:ascii="Arial" w:hAnsi="Arial" w:cs="Arial"/>
          <w:color w:val="000000"/>
          <w:sz w:val="24"/>
          <w:szCs w:val="24"/>
        </w:rPr>
        <w:t>365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C26E91">
        <w:rPr>
          <w:rFonts w:ascii="Arial" w:hAnsi="Arial" w:cs="Arial"/>
          <w:color w:val="000000"/>
          <w:sz w:val="24"/>
          <w:szCs w:val="24"/>
        </w:rPr>
        <w:t>12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881ADB">
        <w:rPr>
          <w:rFonts w:ascii="Arial" w:hAnsi="Arial" w:cs="Arial"/>
          <w:color w:val="000000"/>
          <w:sz w:val="24"/>
          <w:szCs w:val="24"/>
        </w:rPr>
        <w:t>марта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969"/>
        <w:gridCol w:w="5387"/>
      </w:tblGrid>
      <w:tr w:rsidR="005B0CE5" w:rsidRPr="00F46185" w:rsidTr="00881ADB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881ADB" w:rsidRDefault="00255F95" w:rsidP="00795E0B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Аптечки медицинские</w:t>
            </w:r>
            <w:r w:rsidR="00C26E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81ADB" w:rsidRPr="00881ADB">
              <w:rPr>
                <w:rFonts w:ascii="Arial" w:hAnsi="Arial" w:cs="Arial"/>
                <w:color w:val="000000"/>
                <w:sz w:val="24"/>
                <w:szCs w:val="24"/>
              </w:rPr>
              <w:t>для нужд филиала «Шатурская ГРЭС» ПАО «</w:t>
            </w:r>
            <w:proofErr w:type="spellStart"/>
            <w:r w:rsidR="00881ADB" w:rsidRPr="00881ADB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881ADB" w:rsidRPr="00881ADB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Участники должны обеспечить</w:t>
            </w:r>
            <w:bookmarkStart w:id="1" w:name="_GoBack"/>
            <w:bookmarkEnd w:id="1"/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C26E91" w:rsidRDefault="00C26E91" w:rsidP="00C26E91">
            <w:pPr>
              <w:shd w:val="clear" w:color="auto" w:fill="FFFFFF"/>
              <w:ind w:firstLine="0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proofErr w:type="spellStart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Varfolomeeva_SA</w:t>
            </w:r>
            <w:proofErr w:type="spellEnd"/>
            <w:proofErr w:type="gramStart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@  </w:t>
            </w:r>
            <w:proofErr w:type="spellStart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unipro</w:t>
            </w:r>
            <w:proofErr w:type="gramEnd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.energy</w:t>
            </w:r>
            <w:proofErr w:type="spellEnd"/>
          </w:p>
          <w:p w:rsidR="005B0CE5" w:rsidRPr="00C26E91" w:rsidRDefault="00A81FA2" w:rsidP="00C26E91">
            <w:pPr>
              <w:shd w:val="clear" w:color="auto" w:fill="FFFFFF"/>
              <w:ind w:firstLine="0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="00C26E91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  <w:r w:rsidRPr="00795E0B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C26E91">
              <w:rPr>
                <w:rFonts w:ascii="Arial" w:hAnsi="Arial" w:cs="Arial"/>
                <w:sz w:val="24"/>
                <w:szCs w:val="24"/>
                <w:lang w:eastAsia="en-US"/>
              </w:rPr>
              <w:t>28</w:t>
            </w:r>
          </w:p>
        </w:tc>
      </w:tr>
      <w:tr w:rsidR="005B0CE5" w:rsidRPr="00F46185" w:rsidTr="00881ADB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881ADB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lastRenderedPageBreak/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881ADB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881ADB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255F9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255F9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255F95"/>
    <w:rsid w:val="003848CB"/>
    <w:rsid w:val="00407FF5"/>
    <w:rsid w:val="00443468"/>
    <w:rsid w:val="004B460D"/>
    <w:rsid w:val="005A4347"/>
    <w:rsid w:val="005B0CE5"/>
    <w:rsid w:val="006F5E5C"/>
    <w:rsid w:val="00795E0B"/>
    <w:rsid w:val="007C2B8B"/>
    <w:rsid w:val="007E3F93"/>
    <w:rsid w:val="00881ADB"/>
    <w:rsid w:val="0088318C"/>
    <w:rsid w:val="00934B8A"/>
    <w:rsid w:val="00A81FA2"/>
    <w:rsid w:val="00B62166"/>
    <w:rsid w:val="00C26E91"/>
    <w:rsid w:val="00C73ED0"/>
    <w:rsid w:val="00CE6780"/>
    <w:rsid w:val="00E172A4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29D4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Варфоломеева Светлана Анатольевна</cp:lastModifiedBy>
  <cp:revision>10</cp:revision>
  <cp:lastPrinted>2020-01-23T07:23:00Z</cp:lastPrinted>
  <dcterms:created xsi:type="dcterms:W3CDTF">2020-01-23T07:28:00Z</dcterms:created>
  <dcterms:modified xsi:type="dcterms:W3CDTF">2020-03-12T10:53:00Z</dcterms:modified>
</cp:coreProperties>
</file>