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4081C">
        <w:rPr>
          <w:rFonts w:ascii="Arial" w:eastAsia="Times New Roman" w:hAnsi="Arial" w:cs="Arial"/>
          <w:sz w:val="18"/>
          <w:szCs w:val="18"/>
          <w:lang w:eastAsia="ru-RU"/>
        </w:rPr>
        <w:t xml:space="preserve"> 6200306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="0064081C">
        <w:rPr>
          <w:rFonts w:ascii="Arial" w:eastAsia="Times New Roman" w:hAnsi="Arial" w:cs="Arial"/>
          <w:sz w:val="18"/>
          <w:szCs w:val="18"/>
          <w:lang w:eastAsia="ru-RU"/>
        </w:rPr>
        <w:t>, 6200297</w:t>
      </w:r>
      <w:r w:rsidR="00DC4FC9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64081C">
        <w:rPr>
          <w:rFonts w:ascii="Arial" w:eastAsia="Times New Roman" w:hAnsi="Arial" w:cs="Arial"/>
          <w:sz w:val="18"/>
          <w:szCs w:val="18"/>
          <w:lang w:eastAsia="ru-RU"/>
        </w:rPr>
        <w:t>19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4081C">
        <w:rPr>
          <w:rFonts w:ascii="Arial" w:eastAsia="Times New Roman" w:hAnsi="Arial" w:cs="Arial"/>
          <w:sz w:val="18"/>
          <w:szCs w:val="18"/>
          <w:lang w:eastAsia="ru-RU"/>
        </w:rPr>
        <w:t>марта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="00DC4FC9">
        <w:rPr>
          <w:rFonts w:ascii="Arial" w:eastAsia="Times New Roman" w:hAnsi="Arial" w:cs="Arial"/>
          <w:sz w:val="18"/>
          <w:szCs w:val="18"/>
          <w:lang w:eastAsia="ru-RU"/>
        </w:rPr>
        <w:t>оказания услуг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64081C">
        <w:rPr>
          <w:rFonts w:ascii="Arial" w:eastAsia="Times New Roman" w:hAnsi="Arial" w:cs="Arial"/>
          <w:sz w:val="18"/>
          <w:szCs w:val="18"/>
          <w:lang w:eastAsia="ru-RU"/>
        </w:rPr>
        <w:t>консолидированной закупке П530</w:t>
      </w:r>
      <w:bookmarkStart w:id="0" w:name="_GoBack"/>
      <w:bookmarkEnd w:id="0"/>
      <w:r w:rsidR="00611C10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филиала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64081C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11C10"/>
    <w:rsid w:val="00630F05"/>
    <w:rsid w:val="0064081C"/>
    <w:rsid w:val="00647798"/>
    <w:rsid w:val="0065409B"/>
    <w:rsid w:val="006A7F55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C4FC9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CF46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2020-03-18T11:25:00Z</dcterms:created>
  <dcterms:modified xsi:type="dcterms:W3CDTF">2020-03-18T11:25:00Z</dcterms:modified>
</cp:coreProperties>
</file>