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125CA">
        <w:rPr>
          <w:rFonts w:ascii="Arial" w:hAnsi="Arial" w:cs="Arial"/>
          <w:color w:val="000000"/>
          <w:sz w:val="24"/>
          <w:szCs w:val="24"/>
        </w:rPr>
        <w:t>0</w:t>
      </w:r>
      <w:r w:rsidR="00993E13">
        <w:rPr>
          <w:rFonts w:ascii="Arial" w:hAnsi="Arial" w:cs="Arial"/>
          <w:color w:val="000000"/>
          <w:sz w:val="24"/>
          <w:szCs w:val="24"/>
        </w:rPr>
        <w:t>981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0125CA">
        <w:rPr>
          <w:rFonts w:ascii="Arial" w:hAnsi="Arial" w:cs="Arial"/>
          <w:color w:val="000000"/>
          <w:sz w:val="24"/>
          <w:szCs w:val="24"/>
        </w:rPr>
        <w:t>2</w:t>
      </w:r>
      <w:r w:rsidR="00993E13">
        <w:rPr>
          <w:rFonts w:ascii="Arial" w:hAnsi="Arial" w:cs="Arial"/>
          <w:color w:val="000000"/>
          <w:sz w:val="24"/>
          <w:szCs w:val="24"/>
        </w:rPr>
        <w:t>8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0125CA">
        <w:rPr>
          <w:rFonts w:ascii="Arial" w:hAnsi="Arial" w:cs="Arial"/>
          <w:color w:val="000000"/>
          <w:sz w:val="24"/>
          <w:szCs w:val="24"/>
        </w:rPr>
        <w:t>феврал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993E13" w:rsidRDefault="00993E13" w:rsidP="00F4618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3E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Safe</w:t>
            </w:r>
            <w:r w:rsidRPr="00993E1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993E1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on</w:t>
            </w:r>
            <w:r w:rsidRPr="00993E13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Оснащение автоматическими установками газового пожаротушения помещений электрооборудования и АСУ ТП пом. №№ 305, 111, 201, 102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6185" w:rsidRPr="00993E13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нужд </w:t>
            </w:r>
            <w:proofErr w:type="spellStart"/>
            <w:r w:rsidR="00F46185" w:rsidRPr="00993E13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993E13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993E13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993E13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</w:t>
            </w:r>
            <w:r w:rsidR="00C82BEE">
              <w:rPr>
                <w:rFonts w:ascii="Arial" w:hAnsi="Arial" w:cs="Arial"/>
              </w:rPr>
              <w:t>3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Протокол разногласий по проекту договора (форма </w:t>
            </w:r>
            <w:r w:rsidR="00C82BEE">
              <w:rPr>
                <w:rFonts w:ascii="Arial" w:hAnsi="Arial" w:cs="Arial"/>
              </w:rPr>
              <w:t>4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План распределения объемов работ между генеральным подрядчиком и субподрядчиками (форма </w:t>
            </w:r>
            <w:r w:rsidR="00C82BEE">
              <w:rPr>
                <w:rFonts w:ascii="Arial" w:hAnsi="Arial" w:cs="Arial"/>
              </w:rPr>
              <w:t>5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lastRenderedPageBreak/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lastRenderedPageBreak/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="00627334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0</w:t>
            </w:r>
            <w:r w:rsidR="00993E13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3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993E13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993E13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993E13" w:rsidRDefault="00993E13">
      <w:pPr>
        <w:rPr>
          <w:rFonts w:ascii="Arial" w:hAnsi="Arial" w:cs="Arial"/>
          <w:sz w:val="24"/>
          <w:szCs w:val="24"/>
        </w:rPr>
      </w:pPr>
    </w:p>
    <w:p w:rsidR="000125CA" w:rsidRPr="00993E13" w:rsidRDefault="00993E13" w:rsidP="00993E13">
      <w:pPr>
        <w:jc w:val="center"/>
        <w:rPr>
          <w:rFonts w:ascii="Arial" w:hAnsi="Arial" w:cs="Arial"/>
          <w:sz w:val="26"/>
          <w:szCs w:val="26"/>
        </w:rPr>
      </w:pPr>
      <w:r w:rsidRPr="00993E13">
        <w:rPr>
          <w:rFonts w:ascii="Arial" w:hAnsi="Arial" w:cs="Arial"/>
          <w:sz w:val="26"/>
          <w:szCs w:val="26"/>
        </w:rPr>
        <w:t xml:space="preserve">Зам. директора по закупкам и общим вопросам -              </w:t>
      </w:r>
      <w:bookmarkStart w:id="1" w:name="_GoBack"/>
      <w:bookmarkEnd w:id="1"/>
      <w:r w:rsidRPr="00993E13">
        <w:rPr>
          <w:rFonts w:ascii="Arial" w:hAnsi="Arial" w:cs="Arial"/>
          <w:sz w:val="26"/>
          <w:szCs w:val="26"/>
        </w:rPr>
        <w:t xml:space="preserve">              А.В. Гущин</w:t>
      </w:r>
    </w:p>
    <w:sectPr w:rsidR="000125CA" w:rsidRPr="00993E13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125CA"/>
    <w:rsid w:val="005B0CE5"/>
    <w:rsid w:val="00627334"/>
    <w:rsid w:val="007C2B8B"/>
    <w:rsid w:val="00820F52"/>
    <w:rsid w:val="00934B8A"/>
    <w:rsid w:val="00993E13"/>
    <w:rsid w:val="009C4DCF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F6F0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12</cp:revision>
  <dcterms:created xsi:type="dcterms:W3CDTF">2020-01-14T08:03:00Z</dcterms:created>
  <dcterms:modified xsi:type="dcterms:W3CDTF">2020-02-28T11:18:00Z</dcterms:modified>
</cp:coreProperties>
</file>