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14E4909"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780FBA" w:rsidRPr="00713DF0">
        <w:rPr>
          <w:rFonts w:ascii="Arial" w:hAnsi="Arial" w:cs="Arial"/>
          <w:color w:val="000000"/>
          <w:sz w:val="20"/>
        </w:rPr>
        <w:t xml:space="preserve">№ </w:t>
      </w:r>
      <w:r w:rsidR="00780FBA" w:rsidRPr="00BE5D4F">
        <w:rPr>
          <w:rFonts w:ascii="Arial" w:hAnsi="Arial" w:cs="Arial"/>
          <w:color w:val="000000"/>
          <w:sz w:val="20"/>
        </w:rPr>
        <w:t>1960727</w:t>
      </w:r>
      <w:r w:rsidR="00780FBA" w:rsidRPr="00582A59">
        <w:rPr>
          <w:rFonts w:ascii="Arial" w:hAnsi="Arial" w:cs="Arial"/>
          <w:color w:val="000000"/>
          <w:sz w:val="20"/>
        </w:rPr>
        <w:t xml:space="preserve"> </w:t>
      </w:r>
      <w:r w:rsidR="00780FBA" w:rsidRPr="00EF4B4B">
        <w:rPr>
          <w:rFonts w:ascii="Arial" w:hAnsi="Arial" w:cs="Arial"/>
          <w:color w:val="000000"/>
          <w:sz w:val="20"/>
        </w:rPr>
        <w:t>от «</w:t>
      </w:r>
      <w:r w:rsidR="00780FBA">
        <w:rPr>
          <w:rFonts w:ascii="Arial" w:hAnsi="Arial" w:cs="Arial"/>
          <w:color w:val="000000"/>
          <w:sz w:val="20"/>
        </w:rPr>
        <w:t>18</w:t>
      </w:r>
      <w:r w:rsidR="00780FBA" w:rsidRPr="00EF4B4B">
        <w:rPr>
          <w:rFonts w:ascii="Arial" w:hAnsi="Arial" w:cs="Arial"/>
          <w:color w:val="000000"/>
          <w:sz w:val="20"/>
        </w:rPr>
        <w:t xml:space="preserve">» </w:t>
      </w:r>
      <w:r w:rsidR="00780FBA">
        <w:rPr>
          <w:rFonts w:ascii="Arial" w:hAnsi="Arial" w:cs="Arial"/>
          <w:color w:val="000000"/>
          <w:sz w:val="20"/>
        </w:rPr>
        <w:t>января</w:t>
      </w:r>
      <w:r w:rsidR="00780FBA" w:rsidRPr="00EF4B4B">
        <w:rPr>
          <w:rFonts w:ascii="Arial" w:hAnsi="Arial" w:cs="Arial"/>
          <w:color w:val="000000"/>
          <w:sz w:val="20"/>
        </w:rPr>
        <w:t xml:space="preserve"> 202</w:t>
      </w:r>
      <w:r w:rsidR="00780FBA">
        <w:rPr>
          <w:rFonts w:ascii="Arial" w:hAnsi="Arial" w:cs="Arial"/>
          <w:color w:val="000000"/>
          <w:sz w:val="20"/>
        </w:rPr>
        <w:t>1</w:t>
      </w:r>
      <w:r w:rsidR="00780FBA"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95D6354" w:rsidR="00094337" w:rsidRPr="009D40B6" w:rsidRDefault="00780FBA"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780FBA">
              <w:rPr>
                <w:rFonts w:ascii="Arial" w:hAnsi="Arial" w:cs="Arial"/>
                <w:color w:val="000000"/>
                <w:sz w:val="20"/>
              </w:rPr>
              <w:t xml:space="preserve">Система хранения IBM </w:t>
            </w:r>
            <w:proofErr w:type="spellStart"/>
            <w:r w:rsidRPr="00780FBA">
              <w:rPr>
                <w:rFonts w:ascii="Arial" w:hAnsi="Arial" w:cs="Arial"/>
                <w:color w:val="000000"/>
                <w:sz w:val="20"/>
              </w:rPr>
              <w:t>FlashSystem</w:t>
            </w:r>
            <w:proofErr w:type="spellEnd"/>
            <w:r w:rsidRPr="00780FBA">
              <w:rPr>
                <w:rFonts w:ascii="Arial" w:hAnsi="Arial" w:cs="Arial"/>
                <w:color w:val="000000"/>
                <w:sz w:val="20"/>
              </w:rPr>
              <w:t xml:space="preserve"> для филиала Смоленская ГРЭС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5628C040" w:rsidR="00C95A12" w:rsidRPr="007B38F8" w:rsidRDefault="00780FBA"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7A490FC"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80FBA">
              <w:rPr>
                <w:rFonts w:ascii="Arial" w:hAnsi="Arial" w:cs="Arial"/>
                <w:sz w:val="20"/>
                <w:lang w:eastAsia="en-US"/>
              </w:rPr>
              <w:t>18</w:t>
            </w:r>
            <w:r w:rsidRPr="009D40B6">
              <w:rPr>
                <w:rFonts w:ascii="Arial" w:hAnsi="Arial" w:cs="Arial"/>
                <w:sz w:val="20"/>
                <w:lang w:eastAsia="en-US"/>
              </w:rPr>
              <w:t>.</w:t>
            </w:r>
            <w:r w:rsidR="00780FBA">
              <w:rPr>
                <w:rFonts w:ascii="Arial" w:hAnsi="Arial" w:cs="Arial"/>
                <w:sz w:val="20"/>
                <w:lang w:eastAsia="en-US"/>
              </w:rPr>
              <w:t>0</w:t>
            </w:r>
            <w:r w:rsidR="00A87B00">
              <w:rPr>
                <w:rFonts w:ascii="Arial" w:hAnsi="Arial" w:cs="Arial"/>
                <w:sz w:val="20"/>
                <w:lang w:eastAsia="en-US"/>
              </w:rPr>
              <w:t>1</w:t>
            </w:r>
            <w:r w:rsidR="00691EB1" w:rsidRPr="009D40B6">
              <w:rPr>
                <w:rFonts w:ascii="Arial" w:hAnsi="Arial" w:cs="Arial"/>
                <w:sz w:val="20"/>
                <w:lang w:eastAsia="en-US"/>
              </w:rPr>
              <w:t>.202</w:t>
            </w:r>
            <w:r w:rsidR="00780FBA">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bookmarkStart w:id="1" w:name="_GoBack"/>
        <w:bookmarkEnd w:id="1"/>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80FBA"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80FB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260"/>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542E"/>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0FBA"/>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3EF04-C005-4FB9-8153-62B4B941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2374</Words>
  <Characters>18116</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17</cp:revision>
  <cp:lastPrinted>2020-02-25T07:05:00Z</cp:lastPrinted>
  <dcterms:created xsi:type="dcterms:W3CDTF">2020-08-12T20:12:00Z</dcterms:created>
  <dcterms:modified xsi:type="dcterms:W3CDTF">2021-01-16T11:06:00Z</dcterms:modified>
</cp:coreProperties>
</file>