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73C2836D"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0C5446" w:rsidRPr="007B38F8">
        <w:rPr>
          <w:rFonts w:ascii="Arial" w:hAnsi="Arial" w:cs="Arial"/>
          <w:snapToGrid/>
          <w:color w:val="000000"/>
          <w:sz w:val="20"/>
        </w:rPr>
        <w:t xml:space="preserve">№ </w:t>
      </w:r>
      <w:r w:rsidR="008928EA" w:rsidRPr="00C308EC">
        <w:rPr>
          <w:rFonts w:ascii="Arial" w:hAnsi="Arial" w:cs="Arial"/>
          <w:color w:val="000000"/>
          <w:sz w:val="20"/>
        </w:rPr>
        <w:t>1998066</w:t>
      </w:r>
      <w:r w:rsidR="008928EA" w:rsidRPr="00EF4B4B">
        <w:rPr>
          <w:rFonts w:ascii="Arial" w:hAnsi="Arial" w:cs="Arial"/>
          <w:color w:val="000000"/>
          <w:sz w:val="20"/>
        </w:rPr>
        <w:t xml:space="preserve"> от «</w:t>
      </w:r>
      <w:r w:rsidR="008928EA">
        <w:rPr>
          <w:rFonts w:ascii="Arial" w:hAnsi="Arial" w:cs="Arial"/>
          <w:color w:val="000000"/>
          <w:sz w:val="20"/>
        </w:rPr>
        <w:t>03</w:t>
      </w:r>
      <w:r w:rsidR="008928EA" w:rsidRPr="00EF4B4B">
        <w:rPr>
          <w:rFonts w:ascii="Arial" w:hAnsi="Arial" w:cs="Arial"/>
          <w:color w:val="000000"/>
          <w:sz w:val="20"/>
        </w:rPr>
        <w:t xml:space="preserve">» </w:t>
      </w:r>
      <w:r w:rsidR="008928EA">
        <w:rPr>
          <w:rFonts w:ascii="Arial" w:hAnsi="Arial" w:cs="Arial"/>
          <w:color w:val="000000"/>
          <w:sz w:val="20"/>
        </w:rPr>
        <w:t>марта</w:t>
      </w:r>
      <w:r w:rsidR="008928EA" w:rsidRPr="00EF4B4B">
        <w:rPr>
          <w:rFonts w:ascii="Arial" w:hAnsi="Arial" w:cs="Arial"/>
          <w:color w:val="000000"/>
          <w:sz w:val="20"/>
        </w:rPr>
        <w:t xml:space="preserve"> 202</w:t>
      </w:r>
      <w:r w:rsidR="008928EA">
        <w:rPr>
          <w:rFonts w:ascii="Arial" w:hAnsi="Arial" w:cs="Arial"/>
          <w:color w:val="000000"/>
          <w:sz w:val="20"/>
        </w:rPr>
        <w:t>1</w:t>
      </w:r>
      <w:r w:rsidR="008928EA" w:rsidRPr="00EF4B4B">
        <w:rPr>
          <w:rFonts w:ascii="Arial" w:hAnsi="Arial" w:cs="Arial"/>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3445D637" w:rsidR="00094337" w:rsidRPr="009D40B6" w:rsidRDefault="008928EA"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hAnsi="Arial" w:cs="Arial"/>
                <w:color w:val="000000"/>
                <w:sz w:val="20"/>
              </w:rPr>
              <w:t>Поставка</w:t>
            </w:r>
            <w:r w:rsidRPr="00EF4B4B">
              <w:rPr>
                <w:rFonts w:ascii="Arial" w:eastAsia="Calibri" w:hAnsi="Arial" w:cs="Arial"/>
                <w:sz w:val="20"/>
              </w:rPr>
              <w:t xml:space="preserve"> </w:t>
            </w:r>
            <w:r w:rsidRPr="00C308EC">
              <w:rPr>
                <w:rFonts w:ascii="Arial" w:eastAsia="Calibri" w:hAnsi="Arial" w:cs="Arial"/>
                <w:sz w:val="20"/>
              </w:rPr>
              <w:t xml:space="preserve">промышленных планшетов </w:t>
            </w:r>
            <w:r>
              <w:rPr>
                <w:rFonts w:ascii="Arial" w:eastAsia="Calibri" w:hAnsi="Arial" w:cs="Arial"/>
                <w:sz w:val="20"/>
              </w:rPr>
              <w:t xml:space="preserve">для </w:t>
            </w:r>
            <w:r>
              <w:rPr>
                <w:rFonts w:ascii="Arial" w:hAnsi="Arial" w:cs="Arial"/>
                <w:color w:val="000000"/>
                <w:sz w:val="20"/>
              </w:rPr>
              <w:t xml:space="preserve">филиалов </w:t>
            </w:r>
            <w:r w:rsidRPr="00C11B67">
              <w:rPr>
                <w:rFonts w:ascii="Arial" w:hAnsi="Arial" w:cs="Arial"/>
                <w:color w:val="000000"/>
                <w:sz w:val="20"/>
              </w:rPr>
              <w:t>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6EA91636" w:rsidR="00C95A12" w:rsidRPr="007B38F8" w:rsidRDefault="008928EA"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1</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один</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57F7F064"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7D5BF9">
              <w:rPr>
                <w:rFonts w:ascii="Arial" w:hAnsi="Arial" w:cs="Arial"/>
                <w:sz w:val="20"/>
                <w:lang w:eastAsia="en-US"/>
              </w:rPr>
              <w:t>0</w:t>
            </w:r>
            <w:r w:rsidR="00B1428C">
              <w:rPr>
                <w:rFonts w:ascii="Arial" w:hAnsi="Arial" w:cs="Arial"/>
                <w:sz w:val="20"/>
                <w:lang w:eastAsia="en-US"/>
              </w:rPr>
              <w:t>3</w:t>
            </w:r>
            <w:r w:rsidRPr="009D40B6">
              <w:rPr>
                <w:rFonts w:ascii="Arial" w:hAnsi="Arial" w:cs="Arial"/>
                <w:sz w:val="20"/>
                <w:lang w:eastAsia="en-US"/>
              </w:rPr>
              <w:t>.</w:t>
            </w:r>
            <w:r w:rsidR="00B1428C">
              <w:rPr>
                <w:rFonts w:ascii="Arial" w:hAnsi="Arial" w:cs="Arial"/>
                <w:sz w:val="20"/>
                <w:lang w:eastAsia="en-US"/>
              </w:rPr>
              <w:t>03</w:t>
            </w:r>
            <w:r w:rsidR="00691EB1" w:rsidRPr="009D40B6">
              <w:rPr>
                <w:rFonts w:ascii="Arial" w:hAnsi="Arial" w:cs="Arial"/>
                <w:sz w:val="20"/>
                <w:lang w:eastAsia="en-US"/>
              </w:rPr>
              <w:t>.202</w:t>
            </w:r>
            <w:r w:rsidR="00B1428C">
              <w:rPr>
                <w:rFonts w:ascii="Arial" w:hAnsi="Arial" w:cs="Arial"/>
                <w:sz w:val="20"/>
                <w:lang w:eastAsia="en-US"/>
              </w:rPr>
              <w:t>1</w:t>
            </w:r>
            <w:bookmarkStart w:id="1" w:name="_GoBack"/>
            <w:bookmarkEnd w:id="1"/>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w:t>
            </w:r>
            <w:r w:rsidRPr="007B38F8">
              <w:rPr>
                <w:rFonts w:ascii="Arial" w:hAnsi="Arial" w:cs="Arial"/>
                <w:sz w:val="20"/>
                <w:szCs w:val="20"/>
              </w:rPr>
              <w:lastRenderedPageBreak/>
              <w:t>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B1428C"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B1428C"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0D9"/>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0B6E"/>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949"/>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5BF9"/>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28EA"/>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28C"/>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39692">
      <w:bodyDiv w:val="1"/>
      <w:marLeft w:val="0"/>
      <w:marRight w:val="0"/>
      <w:marTop w:val="0"/>
      <w:marBottom w:val="0"/>
      <w:divBdr>
        <w:top w:val="none" w:sz="0" w:space="0" w:color="auto"/>
        <w:left w:val="none" w:sz="0" w:space="0" w:color="auto"/>
        <w:bottom w:val="none" w:sz="0" w:space="0" w:color="auto"/>
        <w:right w:val="none" w:sz="0" w:space="0" w:color="auto"/>
      </w:divBdr>
      <w:divsChild>
        <w:div w:id="1591691775">
          <w:marLeft w:val="0"/>
          <w:marRight w:val="0"/>
          <w:marTop w:val="0"/>
          <w:marBottom w:val="0"/>
          <w:divBdr>
            <w:top w:val="none" w:sz="0" w:space="0" w:color="auto"/>
            <w:left w:val="none" w:sz="0" w:space="0" w:color="auto"/>
            <w:bottom w:val="none" w:sz="0" w:space="0" w:color="auto"/>
            <w:right w:val="none" w:sz="0" w:space="0" w:color="auto"/>
          </w:divBdr>
          <w:divsChild>
            <w:div w:id="1548713278">
              <w:marLeft w:val="0"/>
              <w:marRight w:val="0"/>
              <w:marTop w:val="0"/>
              <w:marBottom w:val="0"/>
              <w:divBdr>
                <w:top w:val="none" w:sz="0" w:space="0" w:color="auto"/>
                <w:left w:val="none" w:sz="0" w:space="0" w:color="auto"/>
                <w:bottom w:val="none" w:sz="0" w:space="0" w:color="auto"/>
                <w:right w:val="none" w:sz="0" w:space="0" w:color="auto"/>
              </w:divBdr>
              <w:divsChild>
                <w:div w:id="333456946">
                  <w:marLeft w:val="0"/>
                  <w:marRight w:val="0"/>
                  <w:marTop w:val="0"/>
                  <w:marBottom w:val="0"/>
                  <w:divBdr>
                    <w:top w:val="none" w:sz="0" w:space="0" w:color="auto"/>
                    <w:left w:val="none" w:sz="0" w:space="0" w:color="auto"/>
                    <w:bottom w:val="none" w:sz="0" w:space="0" w:color="auto"/>
                    <w:right w:val="none" w:sz="0" w:space="0" w:color="auto"/>
                  </w:divBdr>
                  <w:divsChild>
                    <w:div w:id="1450121875">
                      <w:marLeft w:val="0"/>
                      <w:marRight w:val="0"/>
                      <w:marTop w:val="0"/>
                      <w:marBottom w:val="0"/>
                      <w:divBdr>
                        <w:top w:val="none" w:sz="0" w:space="0" w:color="auto"/>
                        <w:left w:val="none" w:sz="0" w:space="0" w:color="auto"/>
                        <w:bottom w:val="none" w:sz="0" w:space="0" w:color="auto"/>
                        <w:right w:val="none" w:sz="0" w:space="0" w:color="auto"/>
                      </w:divBdr>
                      <w:divsChild>
                        <w:div w:id="1688680267">
                          <w:marLeft w:val="0"/>
                          <w:marRight w:val="0"/>
                          <w:marTop w:val="0"/>
                          <w:marBottom w:val="0"/>
                          <w:divBdr>
                            <w:top w:val="none" w:sz="0" w:space="0" w:color="auto"/>
                            <w:left w:val="none" w:sz="0" w:space="0" w:color="auto"/>
                            <w:bottom w:val="none" w:sz="0" w:space="0" w:color="auto"/>
                            <w:right w:val="none" w:sz="0" w:space="0" w:color="auto"/>
                          </w:divBdr>
                          <w:divsChild>
                            <w:div w:id="2124306374">
                              <w:marLeft w:val="0"/>
                              <w:marRight w:val="0"/>
                              <w:marTop w:val="0"/>
                              <w:marBottom w:val="300"/>
                              <w:divBdr>
                                <w:top w:val="single" w:sz="6" w:space="0" w:color="E3E3E3"/>
                                <w:left w:val="single" w:sz="6" w:space="0" w:color="E3E3E3"/>
                                <w:bottom w:val="single" w:sz="6" w:space="0" w:color="E3E3E3"/>
                                <w:right w:val="single" w:sz="6" w:space="0" w:color="E3E3E3"/>
                              </w:divBdr>
                              <w:divsChild>
                                <w:div w:id="716779643">
                                  <w:marLeft w:val="0"/>
                                  <w:marRight w:val="0"/>
                                  <w:marTop w:val="0"/>
                                  <w:marBottom w:val="0"/>
                                  <w:divBdr>
                                    <w:top w:val="none" w:sz="0" w:space="0" w:color="auto"/>
                                    <w:left w:val="none" w:sz="0" w:space="0" w:color="auto"/>
                                    <w:bottom w:val="none" w:sz="0" w:space="0" w:color="auto"/>
                                    <w:right w:val="none" w:sz="0" w:space="0" w:color="auto"/>
                                  </w:divBdr>
                                  <w:divsChild>
                                    <w:div w:id="332144563">
                                      <w:marLeft w:val="0"/>
                                      <w:marRight w:val="0"/>
                                      <w:marTop w:val="0"/>
                                      <w:marBottom w:val="0"/>
                                      <w:divBdr>
                                        <w:top w:val="none" w:sz="0" w:space="0" w:color="auto"/>
                                        <w:left w:val="none" w:sz="0" w:space="0" w:color="auto"/>
                                        <w:bottom w:val="none" w:sz="0" w:space="0" w:color="auto"/>
                                        <w:right w:val="none" w:sz="0" w:space="0" w:color="auto"/>
                                      </w:divBdr>
                                      <w:divsChild>
                                        <w:div w:id="1562404248">
                                          <w:marLeft w:val="0"/>
                                          <w:marRight w:val="0"/>
                                          <w:marTop w:val="0"/>
                                          <w:marBottom w:val="225"/>
                                          <w:divBdr>
                                            <w:top w:val="none" w:sz="0" w:space="0" w:color="auto"/>
                                            <w:left w:val="none" w:sz="0" w:space="0" w:color="auto"/>
                                            <w:bottom w:val="none" w:sz="0" w:space="0" w:color="auto"/>
                                            <w:right w:val="none" w:sz="0" w:space="0" w:color="auto"/>
                                          </w:divBdr>
                                          <w:divsChild>
                                            <w:div w:id="250433871">
                                              <w:marLeft w:val="0"/>
                                              <w:marRight w:val="0"/>
                                              <w:marTop w:val="0"/>
                                              <w:marBottom w:val="0"/>
                                              <w:divBdr>
                                                <w:top w:val="none" w:sz="0" w:space="0" w:color="auto"/>
                                                <w:left w:val="none" w:sz="0" w:space="0" w:color="auto"/>
                                                <w:bottom w:val="none" w:sz="0" w:space="0" w:color="auto"/>
                                                <w:right w:val="none" w:sz="0" w:space="0" w:color="auto"/>
                                              </w:divBdr>
                                              <w:divsChild>
                                                <w:div w:id="12666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42892632">
      <w:bodyDiv w:val="1"/>
      <w:marLeft w:val="0"/>
      <w:marRight w:val="0"/>
      <w:marTop w:val="0"/>
      <w:marBottom w:val="0"/>
      <w:divBdr>
        <w:top w:val="none" w:sz="0" w:space="0" w:color="auto"/>
        <w:left w:val="none" w:sz="0" w:space="0" w:color="auto"/>
        <w:bottom w:val="none" w:sz="0" w:space="0" w:color="auto"/>
        <w:right w:val="none" w:sz="0" w:space="0" w:color="auto"/>
      </w:divBdr>
      <w:divsChild>
        <w:div w:id="1297300567">
          <w:marLeft w:val="0"/>
          <w:marRight w:val="0"/>
          <w:marTop w:val="0"/>
          <w:marBottom w:val="0"/>
          <w:divBdr>
            <w:top w:val="none" w:sz="0" w:space="0" w:color="auto"/>
            <w:left w:val="none" w:sz="0" w:space="0" w:color="auto"/>
            <w:bottom w:val="none" w:sz="0" w:space="0" w:color="auto"/>
            <w:right w:val="none" w:sz="0" w:space="0" w:color="auto"/>
          </w:divBdr>
          <w:divsChild>
            <w:div w:id="7097415">
              <w:marLeft w:val="0"/>
              <w:marRight w:val="0"/>
              <w:marTop w:val="0"/>
              <w:marBottom w:val="0"/>
              <w:divBdr>
                <w:top w:val="none" w:sz="0" w:space="0" w:color="auto"/>
                <w:left w:val="none" w:sz="0" w:space="0" w:color="auto"/>
                <w:bottom w:val="none" w:sz="0" w:space="0" w:color="auto"/>
                <w:right w:val="none" w:sz="0" w:space="0" w:color="auto"/>
              </w:divBdr>
              <w:divsChild>
                <w:div w:id="214894833">
                  <w:marLeft w:val="0"/>
                  <w:marRight w:val="0"/>
                  <w:marTop w:val="0"/>
                  <w:marBottom w:val="0"/>
                  <w:divBdr>
                    <w:top w:val="none" w:sz="0" w:space="0" w:color="auto"/>
                    <w:left w:val="none" w:sz="0" w:space="0" w:color="auto"/>
                    <w:bottom w:val="none" w:sz="0" w:space="0" w:color="auto"/>
                    <w:right w:val="none" w:sz="0" w:space="0" w:color="auto"/>
                  </w:divBdr>
                  <w:divsChild>
                    <w:div w:id="425808138">
                      <w:marLeft w:val="0"/>
                      <w:marRight w:val="0"/>
                      <w:marTop w:val="0"/>
                      <w:marBottom w:val="0"/>
                      <w:divBdr>
                        <w:top w:val="none" w:sz="0" w:space="0" w:color="auto"/>
                        <w:left w:val="none" w:sz="0" w:space="0" w:color="auto"/>
                        <w:bottom w:val="none" w:sz="0" w:space="0" w:color="auto"/>
                        <w:right w:val="none" w:sz="0" w:space="0" w:color="auto"/>
                      </w:divBdr>
                      <w:divsChild>
                        <w:div w:id="492380887">
                          <w:marLeft w:val="0"/>
                          <w:marRight w:val="0"/>
                          <w:marTop w:val="0"/>
                          <w:marBottom w:val="0"/>
                          <w:divBdr>
                            <w:top w:val="none" w:sz="0" w:space="0" w:color="auto"/>
                            <w:left w:val="none" w:sz="0" w:space="0" w:color="auto"/>
                            <w:bottom w:val="none" w:sz="0" w:space="0" w:color="auto"/>
                            <w:right w:val="none" w:sz="0" w:space="0" w:color="auto"/>
                          </w:divBdr>
                          <w:divsChild>
                            <w:div w:id="1762484959">
                              <w:marLeft w:val="0"/>
                              <w:marRight w:val="0"/>
                              <w:marTop w:val="0"/>
                              <w:marBottom w:val="300"/>
                              <w:divBdr>
                                <w:top w:val="single" w:sz="6" w:space="0" w:color="E3E3E3"/>
                                <w:left w:val="single" w:sz="6" w:space="0" w:color="E3E3E3"/>
                                <w:bottom w:val="single" w:sz="6" w:space="0" w:color="E3E3E3"/>
                                <w:right w:val="single" w:sz="6" w:space="0" w:color="E3E3E3"/>
                              </w:divBdr>
                              <w:divsChild>
                                <w:div w:id="546602279">
                                  <w:marLeft w:val="0"/>
                                  <w:marRight w:val="0"/>
                                  <w:marTop w:val="0"/>
                                  <w:marBottom w:val="0"/>
                                  <w:divBdr>
                                    <w:top w:val="none" w:sz="0" w:space="0" w:color="auto"/>
                                    <w:left w:val="none" w:sz="0" w:space="0" w:color="auto"/>
                                    <w:bottom w:val="none" w:sz="0" w:space="0" w:color="auto"/>
                                    <w:right w:val="none" w:sz="0" w:space="0" w:color="auto"/>
                                  </w:divBdr>
                                  <w:divsChild>
                                    <w:div w:id="900091440">
                                      <w:marLeft w:val="0"/>
                                      <w:marRight w:val="0"/>
                                      <w:marTop w:val="0"/>
                                      <w:marBottom w:val="0"/>
                                      <w:divBdr>
                                        <w:top w:val="none" w:sz="0" w:space="0" w:color="auto"/>
                                        <w:left w:val="none" w:sz="0" w:space="0" w:color="auto"/>
                                        <w:bottom w:val="none" w:sz="0" w:space="0" w:color="auto"/>
                                        <w:right w:val="none" w:sz="0" w:space="0" w:color="auto"/>
                                      </w:divBdr>
                                      <w:divsChild>
                                        <w:div w:id="190606638">
                                          <w:marLeft w:val="0"/>
                                          <w:marRight w:val="0"/>
                                          <w:marTop w:val="0"/>
                                          <w:marBottom w:val="225"/>
                                          <w:divBdr>
                                            <w:top w:val="none" w:sz="0" w:space="0" w:color="auto"/>
                                            <w:left w:val="none" w:sz="0" w:space="0" w:color="auto"/>
                                            <w:bottom w:val="none" w:sz="0" w:space="0" w:color="auto"/>
                                            <w:right w:val="none" w:sz="0" w:space="0" w:color="auto"/>
                                          </w:divBdr>
                                          <w:divsChild>
                                            <w:div w:id="1633361052">
                                              <w:marLeft w:val="0"/>
                                              <w:marRight w:val="0"/>
                                              <w:marTop w:val="0"/>
                                              <w:marBottom w:val="0"/>
                                              <w:divBdr>
                                                <w:top w:val="none" w:sz="0" w:space="0" w:color="auto"/>
                                                <w:left w:val="none" w:sz="0" w:space="0" w:color="auto"/>
                                                <w:bottom w:val="none" w:sz="0" w:space="0" w:color="auto"/>
                                                <w:right w:val="none" w:sz="0" w:space="0" w:color="auto"/>
                                              </w:divBdr>
                                              <w:divsChild>
                                                <w:div w:id="3262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5352270">
      <w:bodyDiv w:val="1"/>
      <w:marLeft w:val="0"/>
      <w:marRight w:val="0"/>
      <w:marTop w:val="0"/>
      <w:marBottom w:val="0"/>
      <w:divBdr>
        <w:top w:val="none" w:sz="0" w:space="0" w:color="auto"/>
        <w:left w:val="none" w:sz="0" w:space="0" w:color="auto"/>
        <w:bottom w:val="none" w:sz="0" w:space="0" w:color="auto"/>
        <w:right w:val="none" w:sz="0" w:space="0" w:color="auto"/>
      </w:divBdr>
      <w:divsChild>
        <w:div w:id="1956907765">
          <w:marLeft w:val="0"/>
          <w:marRight w:val="0"/>
          <w:marTop w:val="0"/>
          <w:marBottom w:val="0"/>
          <w:divBdr>
            <w:top w:val="none" w:sz="0" w:space="0" w:color="auto"/>
            <w:left w:val="none" w:sz="0" w:space="0" w:color="auto"/>
            <w:bottom w:val="none" w:sz="0" w:space="0" w:color="auto"/>
            <w:right w:val="none" w:sz="0" w:space="0" w:color="auto"/>
          </w:divBdr>
          <w:divsChild>
            <w:div w:id="1558011123">
              <w:marLeft w:val="0"/>
              <w:marRight w:val="0"/>
              <w:marTop w:val="0"/>
              <w:marBottom w:val="0"/>
              <w:divBdr>
                <w:top w:val="none" w:sz="0" w:space="0" w:color="auto"/>
                <w:left w:val="none" w:sz="0" w:space="0" w:color="auto"/>
                <w:bottom w:val="none" w:sz="0" w:space="0" w:color="auto"/>
                <w:right w:val="none" w:sz="0" w:space="0" w:color="auto"/>
              </w:divBdr>
              <w:divsChild>
                <w:div w:id="448401204">
                  <w:marLeft w:val="0"/>
                  <w:marRight w:val="0"/>
                  <w:marTop w:val="0"/>
                  <w:marBottom w:val="0"/>
                  <w:divBdr>
                    <w:top w:val="none" w:sz="0" w:space="0" w:color="auto"/>
                    <w:left w:val="none" w:sz="0" w:space="0" w:color="auto"/>
                    <w:bottom w:val="none" w:sz="0" w:space="0" w:color="auto"/>
                    <w:right w:val="none" w:sz="0" w:space="0" w:color="auto"/>
                  </w:divBdr>
                  <w:divsChild>
                    <w:div w:id="1288967871">
                      <w:marLeft w:val="0"/>
                      <w:marRight w:val="0"/>
                      <w:marTop w:val="0"/>
                      <w:marBottom w:val="0"/>
                      <w:divBdr>
                        <w:top w:val="none" w:sz="0" w:space="0" w:color="auto"/>
                        <w:left w:val="none" w:sz="0" w:space="0" w:color="auto"/>
                        <w:bottom w:val="none" w:sz="0" w:space="0" w:color="auto"/>
                        <w:right w:val="none" w:sz="0" w:space="0" w:color="auto"/>
                      </w:divBdr>
                      <w:divsChild>
                        <w:div w:id="453208971">
                          <w:marLeft w:val="0"/>
                          <w:marRight w:val="0"/>
                          <w:marTop w:val="0"/>
                          <w:marBottom w:val="0"/>
                          <w:divBdr>
                            <w:top w:val="none" w:sz="0" w:space="0" w:color="auto"/>
                            <w:left w:val="none" w:sz="0" w:space="0" w:color="auto"/>
                            <w:bottom w:val="none" w:sz="0" w:space="0" w:color="auto"/>
                            <w:right w:val="none" w:sz="0" w:space="0" w:color="auto"/>
                          </w:divBdr>
                          <w:divsChild>
                            <w:div w:id="378555398">
                              <w:marLeft w:val="0"/>
                              <w:marRight w:val="0"/>
                              <w:marTop w:val="0"/>
                              <w:marBottom w:val="300"/>
                              <w:divBdr>
                                <w:top w:val="single" w:sz="6" w:space="0" w:color="E3E3E3"/>
                                <w:left w:val="single" w:sz="6" w:space="0" w:color="E3E3E3"/>
                                <w:bottom w:val="single" w:sz="6" w:space="0" w:color="E3E3E3"/>
                                <w:right w:val="single" w:sz="6" w:space="0" w:color="E3E3E3"/>
                              </w:divBdr>
                              <w:divsChild>
                                <w:div w:id="928391004">
                                  <w:marLeft w:val="0"/>
                                  <w:marRight w:val="0"/>
                                  <w:marTop w:val="0"/>
                                  <w:marBottom w:val="0"/>
                                  <w:divBdr>
                                    <w:top w:val="none" w:sz="0" w:space="0" w:color="auto"/>
                                    <w:left w:val="none" w:sz="0" w:space="0" w:color="auto"/>
                                    <w:bottom w:val="none" w:sz="0" w:space="0" w:color="auto"/>
                                    <w:right w:val="none" w:sz="0" w:space="0" w:color="auto"/>
                                  </w:divBdr>
                                  <w:divsChild>
                                    <w:div w:id="173424005">
                                      <w:marLeft w:val="0"/>
                                      <w:marRight w:val="0"/>
                                      <w:marTop w:val="0"/>
                                      <w:marBottom w:val="0"/>
                                      <w:divBdr>
                                        <w:top w:val="none" w:sz="0" w:space="0" w:color="auto"/>
                                        <w:left w:val="none" w:sz="0" w:space="0" w:color="auto"/>
                                        <w:bottom w:val="none" w:sz="0" w:space="0" w:color="auto"/>
                                        <w:right w:val="none" w:sz="0" w:space="0" w:color="auto"/>
                                      </w:divBdr>
                                      <w:divsChild>
                                        <w:div w:id="635993083">
                                          <w:marLeft w:val="0"/>
                                          <w:marRight w:val="0"/>
                                          <w:marTop w:val="0"/>
                                          <w:marBottom w:val="225"/>
                                          <w:divBdr>
                                            <w:top w:val="none" w:sz="0" w:space="0" w:color="auto"/>
                                            <w:left w:val="none" w:sz="0" w:space="0" w:color="auto"/>
                                            <w:bottom w:val="none" w:sz="0" w:space="0" w:color="auto"/>
                                            <w:right w:val="none" w:sz="0" w:space="0" w:color="auto"/>
                                          </w:divBdr>
                                          <w:divsChild>
                                            <w:div w:id="1589729701">
                                              <w:marLeft w:val="0"/>
                                              <w:marRight w:val="0"/>
                                              <w:marTop w:val="0"/>
                                              <w:marBottom w:val="0"/>
                                              <w:divBdr>
                                                <w:top w:val="none" w:sz="0" w:space="0" w:color="auto"/>
                                                <w:left w:val="none" w:sz="0" w:space="0" w:color="auto"/>
                                                <w:bottom w:val="none" w:sz="0" w:space="0" w:color="auto"/>
                                                <w:right w:val="none" w:sz="0" w:space="0" w:color="auto"/>
                                              </w:divBdr>
                                              <w:divsChild>
                                                <w:div w:id="6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E06FE-8E2A-457C-B4DF-BFB2898B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2371</Words>
  <Characters>18102</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20433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3</cp:revision>
  <cp:lastPrinted>2020-02-25T07:05:00Z</cp:lastPrinted>
  <dcterms:created xsi:type="dcterms:W3CDTF">2021-03-03T07:43:00Z</dcterms:created>
  <dcterms:modified xsi:type="dcterms:W3CDTF">2021-03-03T07:43:00Z</dcterms:modified>
</cp:coreProperties>
</file>