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0F7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0F7EF9" w:rsidRPr="000F7EF9">
        <w:rPr>
          <w:rFonts w:ascii="Arial" w:hAnsi="Arial" w:cs="Arial"/>
          <w:color w:val="000000"/>
          <w:sz w:val="18"/>
          <w:szCs w:val="18"/>
        </w:rPr>
        <w:t xml:space="preserve">2782451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5169F8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C1546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5169F8" w:rsidRPr="000F7EF9" w:rsidRDefault="00DE7C2B" w:rsidP="005169F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F7EF9" w:rsidRPr="000F7EF9">
        <w:rPr>
          <w:rFonts w:ascii="Arial" w:hAnsi="Arial" w:cs="Arial"/>
          <w:color w:val="000000"/>
          <w:sz w:val="18"/>
          <w:szCs w:val="18"/>
        </w:rPr>
        <w:t xml:space="preserve">Электродвигатели 6кВ типа АВДО-400-6000-6УХЛ4 в соответствии с техническими требованиями </w:t>
      </w:r>
      <w:r w:rsidR="000F7EF9" w:rsidRPr="000F7EF9">
        <w:rPr>
          <w:rFonts w:ascii="Arial" w:hAnsi="Arial" w:cs="Arial"/>
          <w:sz w:val="18"/>
          <w:szCs w:val="18"/>
        </w:rPr>
        <w:t>для нужд филиала «Сургутская ГРЭС-2» филиал ПАО «Юнипро»</w:t>
      </w:r>
    </w:p>
    <w:p w:rsidR="00DE7C2B" w:rsidRPr="000F7EF9" w:rsidRDefault="00C15463" w:rsidP="005169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hAnsi="Arial" w:cs="Arial"/>
          <w:sz w:val="18"/>
          <w:szCs w:val="18"/>
        </w:rPr>
        <w:t xml:space="preserve"> </w:t>
      </w:r>
    </w:p>
    <w:p w:rsidR="007A0E03" w:rsidRPr="000F7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0F7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0F7EF9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0F7EF9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0F7EF9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5169F8" w:rsidRPr="000F7EF9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Pr="000F7EF9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0F7EF9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0F7EF9">
        <w:rPr>
          <w:rFonts w:ascii="Arial" w:hAnsi="Arial" w:cs="Arial"/>
          <w:sz w:val="18"/>
          <w:szCs w:val="18"/>
        </w:rPr>
        <w:t>, 23, сооружение 34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C30543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5169F8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F16FD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C15463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5169F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3901F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bookmarkStart w:id="0" w:name="_GoBack"/>
      <w:bookmarkEnd w:id="0"/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15463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0F7EF9" w:rsidRPr="000F7EF9">
        <w:rPr>
          <w:rFonts w:ascii="Arial" w:hAnsi="Arial" w:cs="Arial"/>
          <w:color w:val="000000"/>
          <w:sz w:val="18"/>
          <w:szCs w:val="18"/>
        </w:rPr>
        <w:t>2782451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FBE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18</cp:revision>
  <cp:lastPrinted>2020-03-02T15:00:00Z</cp:lastPrinted>
  <dcterms:created xsi:type="dcterms:W3CDTF">2020-06-15T08:59:00Z</dcterms:created>
  <dcterms:modified xsi:type="dcterms:W3CDTF">2021-09-27T10:16:00Z</dcterms:modified>
</cp:coreProperties>
</file>