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FB6B59" w:rsidRPr="00FB6B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2209196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FB6B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</w:t>
      </w:r>
      <w:r w:rsidR="001046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FB6B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BB6683">
        <w:rPr>
          <w:rFonts w:ascii="Arial" w:eastAsia="Calibri" w:hAnsi="Arial" w:cs="Arial"/>
          <w:sz w:val="20"/>
          <w:szCs w:val="20"/>
        </w:rPr>
        <w:t>р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асходны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запасны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част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средств ИТ</w:t>
      </w:r>
      <w:r w:rsidR="002728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B6B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филиалов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  <w:r w:rsidR="00FB6B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2022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- Московское представительство ПАО «Юнипро»: </w:t>
      </w:r>
      <w:r w:rsidR="00142ACF" w:rsidRPr="00C01750">
        <w:rPr>
          <w:rFonts w:ascii="Arial" w:hAnsi="Arial" w:cs="Arial"/>
          <w:sz w:val="20"/>
          <w:szCs w:val="20"/>
        </w:rPr>
        <w:t>Российская Федерация</w:t>
      </w:r>
      <w:r w:rsidR="00142A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142ACF" w:rsidRDefault="00D01169" w:rsidP="00142ACF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FB6B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FB6B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FB6B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FB6B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FB6B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FB6B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bookmarkStart w:id="0" w:name="_GoBack"/>
      <w:r w:rsidR="008832D1" w:rsidRPr="00BC45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2209196</w:t>
      </w:r>
      <w:r w:rsidR="008832D1" w:rsidRPr="00BC45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bookmarkEnd w:id="0"/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Перечень МТР к техническому требованию</w:t>
      </w:r>
      <w:r>
        <w:rPr>
          <w:rFonts w:ascii="Arial" w:eastAsia="Calibri" w:hAnsi="Arial" w:cs="Arial"/>
          <w:sz w:val="20"/>
          <w:szCs w:val="20"/>
        </w:rPr>
        <w:t xml:space="preserve"> по лотам.</w:t>
      </w:r>
    </w:p>
    <w:p w:rsidR="009E1EAE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Форма Технико-коммерческого предложения лот №1</w:t>
      </w:r>
      <w:r>
        <w:rPr>
          <w:rFonts w:ascii="Arial" w:eastAsia="Calibri" w:hAnsi="Arial" w:cs="Arial"/>
          <w:sz w:val="20"/>
          <w:szCs w:val="20"/>
        </w:rPr>
        <w:t xml:space="preserve">, лот №2, лот №3, </w:t>
      </w:r>
      <w:r w:rsidRPr="009E1EAE">
        <w:rPr>
          <w:rFonts w:ascii="Arial" w:eastAsia="Calibri" w:hAnsi="Arial" w:cs="Arial"/>
          <w:sz w:val="20"/>
          <w:szCs w:val="20"/>
        </w:rPr>
        <w:t>лот №</w:t>
      </w:r>
      <w:r>
        <w:rPr>
          <w:rFonts w:ascii="Arial" w:eastAsia="Calibri" w:hAnsi="Arial" w:cs="Arial"/>
          <w:sz w:val="20"/>
          <w:szCs w:val="20"/>
        </w:rPr>
        <w:t>4, лот №5, лот №6</w:t>
      </w:r>
      <w:r w:rsidR="00FB6B59">
        <w:rPr>
          <w:rFonts w:ascii="Arial" w:eastAsia="Calibri" w:hAnsi="Arial" w:cs="Arial"/>
          <w:sz w:val="20"/>
          <w:szCs w:val="20"/>
        </w:rPr>
        <w:t>.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768C"/>
    <w:rsid w:val="002B4A6A"/>
    <w:rsid w:val="002C2568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5F149C"/>
    <w:rsid w:val="00610B60"/>
    <w:rsid w:val="00630F05"/>
    <w:rsid w:val="00647798"/>
    <w:rsid w:val="0065409B"/>
    <w:rsid w:val="00682FD0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832D1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BB6683"/>
    <w:rsid w:val="00BC45F5"/>
    <w:rsid w:val="00C01967"/>
    <w:rsid w:val="00C11B67"/>
    <w:rsid w:val="00C51500"/>
    <w:rsid w:val="00C61252"/>
    <w:rsid w:val="00CB0D99"/>
    <w:rsid w:val="00CC3704"/>
    <w:rsid w:val="00CF0487"/>
    <w:rsid w:val="00D01169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B6B59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AD2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11</cp:revision>
  <cp:lastPrinted>2020-02-25T06:41:00Z</cp:lastPrinted>
  <dcterms:created xsi:type="dcterms:W3CDTF">2020-08-13T13:55:00Z</dcterms:created>
  <dcterms:modified xsi:type="dcterms:W3CDTF">2021-10-27T15:24:00Z</dcterms:modified>
</cp:coreProperties>
</file>