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6F" w:rsidRDefault="00F34A1D" w:rsidP="00F34A1D">
      <w:pPr>
        <w:jc w:val="center"/>
        <w:rPr>
          <w:sz w:val="20"/>
        </w:rPr>
      </w:pPr>
      <w:r>
        <w:rPr>
          <w:sz w:val="20"/>
        </w:rPr>
        <w:t xml:space="preserve">                                                                  </w:t>
      </w:r>
      <w:r w:rsidR="00557A6F">
        <w:rPr>
          <w:sz w:val="20"/>
        </w:rPr>
        <w:t>Приложение № 1</w:t>
      </w:r>
    </w:p>
    <w:p w:rsidR="00557A6F" w:rsidRDefault="00F34A1D" w:rsidP="00F34A1D">
      <w:pPr>
        <w:jc w:val="right"/>
        <w:rPr>
          <w:sz w:val="20"/>
        </w:rPr>
      </w:pPr>
      <w:r>
        <w:rPr>
          <w:sz w:val="20"/>
        </w:rPr>
        <w:t xml:space="preserve">                       </w:t>
      </w:r>
      <w:r w:rsidR="00557A6F">
        <w:rPr>
          <w:sz w:val="20"/>
        </w:rPr>
        <w:t>к Прика</w:t>
      </w:r>
      <w:r w:rsidR="007601FD">
        <w:rPr>
          <w:sz w:val="20"/>
        </w:rPr>
        <w:t xml:space="preserve">зу    </w:t>
      </w:r>
      <w:r>
        <w:rPr>
          <w:sz w:val="20"/>
        </w:rPr>
        <w:t>№ 031 от 05.03.2014</w:t>
      </w:r>
      <w:r w:rsidR="007601FD">
        <w:rPr>
          <w:sz w:val="20"/>
        </w:rPr>
        <w:t xml:space="preserve">                  </w:t>
      </w:r>
      <w:r w:rsidR="00557A6F">
        <w:rPr>
          <w:sz w:val="20"/>
        </w:rPr>
        <w:t>.</w:t>
      </w:r>
    </w:p>
    <w:p w:rsidR="00557A6F" w:rsidRDefault="00557A6F" w:rsidP="00F34A1D">
      <w:pPr>
        <w:jc w:val="right"/>
        <w:rPr>
          <w:b/>
          <w:szCs w:val="24"/>
        </w:rPr>
      </w:pPr>
    </w:p>
    <w:p w:rsidR="00557A6F" w:rsidRDefault="00557A6F" w:rsidP="00557A6F">
      <w:pPr>
        <w:jc w:val="center"/>
        <w:rPr>
          <w:b/>
          <w:szCs w:val="24"/>
        </w:rPr>
      </w:pPr>
      <w:r>
        <w:rPr>
          <w:b/>
          <w:szCs w:val="24"/>
        </w:rPr>
        <w:t>ПОЛОЖЕНИЕ</w:t>
      </w:r>
    </w:p>
    <w:p w:rsidR="00557A6F" w:rsidRDefault="00557A6F" w:rsidP="00557A6F">
      <w:pPr>
        <w:autoSpaceDE w:val="0"/>
        <w:autoSpaceDN w:val="0"/>
        <w:adjustRightInd w:val="0"/>
        <w:spacing w:after="12"/>
        <w:ind w:left="180"/>
        <w:jc w:val="center"/>
        <w:rPr>
          <w:b/>
          <w:szCs w:val="24"/>
        </w:rPr>
      </w:pPr>
      <w:r>
        <w:rPr>
          <w:b/>
          <w:szCs w:val="24"/>
        </w:rPr>
        <w:t>о проведении открытого запроса предложений на право заключения с ОАО «Э.ОН Россия» договора купли-продажи недвижимого имущества</w:t>
      </w:r>
    </w:p>
    <w:p w:rsidR="00557A6F" w:rsidRDefault="00557A6F" w:rsidP="00557A6F">
      <w:pPr>
        <w:numPr>
          <w:ilvl w:val="0"/>
          <w:numId w:val="1"/>
        </w:numPr>
        <w:tabs>
          <w:tab w:val="left" w:pos="-360"/>
          <w:tab w:val="num" w:pos="0"/>
          <w:tab w:val="left" w:pos="284"/>
          <w:tab w:val="left" w:pos="851"/>
        </w:tabs>
        <w:spacing w:line="18" w:lineRule="atLeast"/>
        <w:ind w:left="0" w:firstLine="0"/>
        <w:jc w:val="both"/>
        <w:rPr>
          <w:b/>
          <w:szCs w:val="24"/>
        </w:rPr>
      </w:pPr>
      <w:r>
        <w:rPr>
          <w:szCs w:val="24"/>
        </w:rPr>
        <w:t xml:space="preserve">Настоящее Положение о проведении открытого запроса предложений на право заключения с ОАО «Э.ОН Россия» (далее – Организатор) договора купли-продажи недвижимого имущества (далее - Положение) определяет порядок проведения открытого запроса предложений, предметом которого является </w:t>
      </w:r>
      <w:r>
        <w:rPr>
          <w:b/>
          <w:szCs w:val="24"/>
        </w:rPr>
        <w:t>право на заключение с ОАО «Э.ОН Россия» договора купли-продажи</w:t>
      </w:r>
      <w:r>
        <w:rPr>
          <w:szCs w:val="24"/>
        </w:rPr>
        <w:t xml:space="preserve"> следующего недвижимого имущества ОАО «Э.ОН Россия» (далее - Имущество):</w:t>
      </w:r>
    </w:p>
    <w:p w:rsidR="00557A6F" w:rsidRDefault="00557A6F" w:rsidP="00557A6F">
      <w:pPr>
        <w:tabs>
          <w:tab w:val="left" w:pos="-360"/>
          <w:tab w:val="left" w:pos="284"/>
          <w:tab w:val="left" w:pos="851"/>
        </w:tabs>
        <w:spacing w:line="18" w:lineRule="atLeast"/>
        <w:ind w:left="567" w:hanging="567"/>
        <w:jc w:val="both"/>
        <w:rPr>
          <w:b/>
          <w:szCs w:val="24"/>
        </w:rPr>
      </w:pPr>
      <w:r>
        <w:rPr>
          <w:b/>
        </w:rPr>
        <w:t xml:space="preserve">          </w:t>
      </w:r>
      <w:r>
        <w:rPr>
          <w:b/>
          <w:szCs w:val="24"/>
        </w:rPr>
        <w:t xml:space="preserve">Моторная яхта </w:t>
      </w:r>
      <w:r>
        <w:rPr>
          <w:szCs w:val="24"/>
        </w:rPr>
        <w:t xml:space="preserve"> </w:t>
      </w:r>
      <w:r>
        <w:rPr>
          <w:b/>
          <w:szCs w:val="24"/>
        </w:rPr>
        <w:t>класса люкс Новая Генерация</w:t>
      </w:r>
      <w:r>
        <w:rPr>
          <w:szCs w:val="24"/>
        </w:rPr>
        <w:t xml:space="preserve"> (</w:t>
      </w:r>
      <w:r>
        <w:rPr>
          <w:b/>
          <w:szCs w:val="24"/>
          <w:lang w:val="en-US"/>
        </w:rPr>
        <w:t>Majesty</w:t>
      </w:r>
      <w:r w:rsidRPr="00557A6F">
        <w:rPr>
          <w:b/>
          <w:szCs w:val="24"/>
        </w:rPr>
        <w:t xml:space="preserve"> </w:t>
      </w:r>
      <w:r>
        <w:rPr>
          <w:b/>
          <w:szCs w:val="24"/>
          <w:lang w:val="en-US"/>
        </w:rPr>
        <w:t>Gulf</w:t>
      </w:r>
      <w:r>
        <w:rPr>
          <w:b/>
          <w:szCs w:val="24"/>
        </w:rPr>
        <w:t>, 2006г.)</w:t>
      </w:r>
      <w:r>
        <w:rPr>
          <w:b/>
        </w:rPr>
        <w:t xml:space="preserve">      </w:t>
      </w:r>
      <w:r>
        <w:rPr>
          <w:b/>
          <w:szCs w:val="24"/>
        </w:rPr>
        <w:t>Идентификационные и технические характеристики  приведены ниже:</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gridCol w:w="6521"/>
      </w:tblGrid>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Наименование судна</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Новая Генерация</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Государственный рег. номер</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17-5456</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Судовой билет</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С № 000147 (Приложение №1)</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Дата выдачи, кем выдан судовой билет</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04 июля 2013 года, ФКУ «Речная администрация Московского бассейна»</w:t>
            </w:r>
          </w:p>
        </w:tc>
      </w:tr>
      <w:tr w:rsidR="00557A6F" w:rsidTr="00557A6F">
        <w:tc>
          <w:tcPr>
            <w:tcW w:w="2835" w:type="dxa"/>
            <w:vMerge w:val="restart"/>
            <w:tcBorders>
              <w:top w:val="single" w:sz="4" w:space="0" w:color="000000"/>
              <w:left w:val="single" w:sz="4" w:space="0" w:color="000000"/>
              <w:bottom w:val="single" w:sz="4" w:space="0" w:color="auto"/>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Информация о судне</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 xml:space="preserve">2006 года постройки, место постройки ОАЭ, дизайн </w:t>
            </w:r>
            <w:r>
              <w:rPr>
                <w:b/>
                <w:szCs w:val="24"/>
                <w:lang w:val="en-US"/>
              </w:rPr>
              <w:t>Gulf</w:t>
            </w:r>
            <w:r w:rsidRPr="00557A6F">
              <w:rPr>
                <w:b/>
                <w:szCs w:val="24"/>
              </w:rPr>
              <w:t xml:space="preserve"> </w:t>
            </w:r>
            <w:r>
              <w:rPr>
                <w:b/>
                <w:szCs w:val="24"/>
                <w:lang w:val="en-US"/>
              </w:rPr>
              <w:t>Craft</w:t>
            </w:r>
            <w:r w:rsidRPr="00557A6F">
              <w:rPr>
                <w:b/>
                <w:szCs w:val="24"/>
              </w:rPr>
              <w:t xml:space="preserve"> </w:t>
            </w:r>
            <w:r>
              <w:rPr>
                <w:b/>
                <w:szCs w:val="24"/>
                <w:lang w:val="en-US"/>
              </w:rPr>
              <w:t>Inc</w:t>
            </w:r>
            <w:r>
              <w:rPr>
                <w:b/>
                <w:szCs w:val="24"/>
              </w:rPr>
              <w:t>.</w:t>
            </w:r>
          </w:p>
        </w:tc>
      </w:tr>
      <w:tr w:rsidR="00557A6F" w:rsidTr="00557A6F">
        <w:tc>
          <w:tcPr>
            <w:tcW w:w="0" w:type="auto"/>
            <w:vMerge/>
            <w:tcBorders>
              <w:top w:val="single" w:sz="4" w:space="0" w:color="000000"/>
              <w:left w:val="single" w:sz="4" w:space="0" w:color="000000"/>
              <w:bottom w:val="single" w:sz="4" w:space="0" w:color="auto"/>
              <w:right w:val="single" w:sz="4" w:space="0" w:color="000000"/>
            </w:tcBorders>
            <w:vAlign w:val="center"/>
            <w:hideMark/>
          </w:tcPr>
          <w:p w:rsidR="00557A6F" w:rsidRDefault="00557A6F">
            <w:pPr>
              <w:rPr>
                <w:b/>
                <w:szCs w:val="24"/>
              </w:rPr>
            </w:pPr>
          </w:p>
        </w:tc>
        <w:tc>
          <w:tcPr>
            <w:tcW w:w="6521" w:type="dxa"/>
            <w:tcBorders>
              <w:top w:val="single" w:sz="4" w:space="0" w:color="auto"/>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 xml:space="preserve">Идентификационный М-17-5456, тип и назначение судна - </w:t>
            </w:r>
          </w:p>
        </w:tc>
      </w:tr>
      <w:tr w:rsidR="00557A6F" w:rsidTr="00557A6F">
        <w:tc>
          <w:tcPr>
            <w:tcW w:w="0" w:type="auto"/>
            <w:vMerge/>
            <w:tcBorders>
              <w:top w:val="single" w:sz="4" w:space="0" w:color="000000"/>
              <w:left w:val="single" w:sz="4" w:space="0" w:color="000000"/>
              <w:bottom w:val="single" w:sz="4" w:space="0" w:color="auto"/>
              <w:right w:val="single" w:sz="4" w:space="0" w:color="000000"/>
            </w:tcBorders>
            <w:vAlign w:val="center"/>
            <w:hideMark/>
          </w:tcPr>
          <w:p w:rsidR="00557A6F" w:rsidRDefault="00557A6F">
            <w:pPr>
              <w:rPr>
                <w:b/>
                <w:szCs w:val="24"/>
              </w:rPr>
            </w:pP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Прогулочное, класс судна М 3,0/0,6 глиссер А, Московский</w:t>
            </w:r>
          </w:p>
        </w:tc>
      </w:tr>
      <w:tr w:rsidR="00557A6F" w:rsidTr="00557A6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557A6F" w:rsidRDefault="00557A6F">
            <w:pPr>
              <w:rPr>
                <w:b/>
                <w:szCs w:val="24"/>
              </w:rPr>
            </w:pPr>
          </w:p>
        </w:tc>
        <w:tc>
          <w:tcPr>
            <w:tcW w:w="6521" w:type="dxa"/>
            <w:tcBorders>
              <w:top w:val="single" w:sz="4" w:space="0" w:color="000000"/>
              <w:left w:val="single" w:sz="4" w:space="0" w:color="000000"/>
              <w:bottom w:val="single" w:sz="4" w:space="0" w:color="auto"/>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Филиал Российского Речного Регистра</w:t>
            </w:r>
          </w:p>
        </w:tc>
      </w:tr>
      <w:tr w:rsidR="00557A6F" w:rsidTr="00557A6F">
        <w:trPr>
          <w:trHeight w:val="255"/>
        </w:trPr>
        <w:tc>
          <w:tcPr>
            <w:tcW w:w="2835" w:type="dxa"/>
            <w:tcBorders>
              <w:top w:val="single" w:sz="4" w:space="0" w:color="auto"/>
              <w:left w:val="single" w:sz="4" w:space="0" w:color="000000"/>
              <w:bottom w:val="single" w:sz="4" w:space="0" w:color="auto"/>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Строительный (заводской) номер</w:t>
            </w:r>
          </w:p>
        </w:tc>
        <w:tc>
          <w:tcPr>
            <w:tcW w:w="6521" w:type="dxa"/>
            <w:tcBorders>
              <w:top w:val="single" w:sz="4" w:space="0" w:color="auto"/>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lang w:val="en-US"/>
              </w:rPr>
            </w:pPr>
            <w:r>
              <w:rPr>
                <w:b/>
                <w:szCs w:val="24"/>
                <w:lang w:val="en-US"/>
              </w:rPr>
              <w:t>UAXVA85007H607</w:t>
            </w:r>
          </w:p>
        </w:tc>
      </w:tr>
      <w:tr w:rsidR="00557A6F" w:rsidTr="00557A6F">
        <w:trPr>
          <w:trHeight w:val="255"/>
        </w:trPr>
        <w:tc>
          <w:tcPr>
            <w:tcW w:w="2835" w:type="dxa"/>
            <w:tcBorders>
              <w:top w:val="single" w:sz="4" w:space="0" w:color="auto"/>
              <w:left w:val="single" w:sz="4" w:space="0" w:color="000000"/>
              <w:bottom w:val="single" w:sz="4" w:space="0" w:color="auto"/>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Материал корпуса</w:t>
            </w:r>
          </w:p>
        </w:tc>
        <w:tc>
          <w:tcPr>
            <w:tcW w:w="6521" w:type="dxa"/>
            <w:tcBorders>
              <w:top w:val="single" w:sz="4" w:space="0" w:color="auto"/>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стеклопластик</w:t>
            </w:r>
          </w:p>
        </w:tc>
      </w:tr>
      <w:tr w:rsidR="00557A6F" w:rsidTr="00557A6F">
        <w:tc>
          <w:tcPr>
            <w:tcW w:w="2835" w:type="dxa"/>
            <w:tcBorders>
              <w:top w:val="single" w:sz="4" w:space="0" w:color="auto"/>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lang w:val="en-US"/>
              </w:rPr>
            </w:pPr>
            <w:r>
              <w:rPr>
                <w:b/>
                <w:szCs w:val="24"/>
              </w:rPr>
              <w:t xml:space="preserve">Длина, м:  </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25,83</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 xml:space="preserve">Ширина, м:  </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6,25</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Осадка, м:</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1,18</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Высота борта, м:</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3,03</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Максимальное кол-во людей на борту:</w:t>
            </w:r>
          </w:p>
        </w:tc>
        <w:tc>
          <w:tcPr>
            <w:tcW w:w="6521" w:type="dxa"/>
            <w:tcBorders>
              <w:top w:val="single" w:sz="4" w:space="0" w:color="000000"/>
              <w:left w:val="single" w:sz="4" w:space="0" w:color="000000"/>
              <w:bottom w:val="single" w:sz="4" w:space="0" w:color="000000"/>
              <w:right w:val="single" w:sz="4" w:space="0" w:color="000000"/>
            </w:tcBorders>
          </w:tcPr>
          <w:p w:rsidR="00557A6F" w:rsidRDefault="00557A6F">
            <w:pPr>
              <w:tabs>
                <w:tab w:val="left" w:pos="-360"/>
                <w:tab w:val="left" w:pos="284"/>
                <w:tab w:val="left" w:pos="851"/>
              </w:tabs>
              <w:spacing w:line="18" w:lineRule="atLeast"/>
              <w:jc w:val="both"/>
              <w:rPr>
                <w:b/>
                <w:szCs w:val="24"/>
              </w:rPr>
            </w:pPr>
          </w:p>
          <w:p w:rsidR="00557A6F" w:rsidRDefault="00557A6F">
            <w:pPr>
              <w:tabs>
                <w:tab w:val="left" w:pos="-360"/>
                <w:tab w:val="left" w:pos="284"/>
                <w:tab w:val="left" w:pos="851"/>
              </w:tabs>
              <w:spacing w:line="18" w:lineRule="atLeast"/>
              <w:jc w:val="both"/>
              <w:rPr>
                <w:b/>
                <w:szCs w:val="24"/>
              </w:rPr>
            </w:pPr>
            <w:r>
              <w:rPr>
                <w:b/>
                <w:szCs w:val="24"/>
              </w:rPr>
              <w:t>12 человек</w:t>
            </w:r>
          </w:p>
        </w:tc>
      </w:tr>
      <w:tr w:rsidR="00557A6F" w:rsidTr="00557A6F">
        <w:tc>
          <w:tcPr>
            <w:tcW w:w="2835"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Двигатель/мощность:</w:t>
            </w:r>
          </w:p>
        </w:tc>
        <w:tc>
          <w:tcPr>
            <w:tcW w:w="6521" w:type="dxa"/>
            <w:tcBorders>
              <w:top w:val="single" w:sz="4" w:space="0" w:color="000000"/>
              <w:left w:val="single" w:sz="4" w:space="0" w:color="000000"/>
              <w:bottom w:val="single" w:sz="4" w:space="0" w:color="000000"/>
              <w:right w:val="single" w:sz="4" w:space="0" w:color="000000"/>
            </w:tcBorders>
            <w:hideMark/>
          </w:tcPr>
          <w:p w:rsidR="00557A6F" w:rsidRDefault="00557A6F">
            <w:pPr>
              <w:tabs>
                <w:tab w:val="left" w:pos="-360"/>
                <w:tab w:val="left" w:pos="284"/>
                <w:tab w:val="left" w:pos="851"/>
              </w:tabs>
              <w:spacing w:line="18" w:lineRule="atLeast"/>
              <w:jc w:val="both"/>
              <w:rPr>
                <w:b/>
                <w:szCs w:val="24"/>
              </w:rPr>
            </w:pPr>
            <w:r>
              <w:rPr>
                <w:b/>
                <w:szCs w:val="24"/>
              </w:rPr>
              <w:t xml:space="preserve">2 двигателя </w:t>
            </w:r>
            <w:r>
              <w:rPr>
                <w:b/>
                <w:szCs w:val="24"/>
                <w:lang w:val="en-US"/>
              </w:rPr>
              <w:t>Caterpillar</w:t>
            </w:r>
            <w:r>
              <w:rPr>
                <w:b/>
                <w:szCs w:val="24"/>
              </w:rPr>
              <w:t xml:space="preserve">  3412, мощность 2088 к Вт</w:t>
            </w:r>
          </w:p>
        </w:tc>
      </w:tr>
    </w:tbl>
    <w:p w:rsidR="00557A6F" w:rsidRDefault="00557A6F" w:rsidP="00557A6F">
      <w:pPr>
        <w:tabs>
          <w:tab w:val="left" w:pos="-360"/>
          <w:tab w:val="left" w:pos="284"/>
          <w:tab w:val="left" w:pos="851"/>
        </w:tabs>
        <w:spacing w:line="18" w:lineRule="atLeast"/>
        <w:jc w:val="both"/>
        <w:rPr>
          <w:b/>
          <w:szCs w:val="24"/>
        </w:rPr>
      </w:pPr>
      <w:r>
        <w:rPr>
          <w:b/>
          <w:szCs w:val="24"/>
        </w:rPr>
        <w:t xml:space="preserve">        В комплекте:</w:t>
      </w:r>
    </w:p>
    <w:p w:rsidR="00557A6F" w:rsidRDefault="00557A6F" w:rsidP="00557A6F">
      <w:pPr>
        <w:tabs>
          <w:tab w:val="left" w:pos="-360"/>
          <w:tab w:val="left" w:pos="284"/>
          <w:tab w:val="left" w:pos="851"/>
        </w:tabs>
        <w:spacing w:before="120" w:line="18" w:lineRule="atLeast"/>
        <w:jc w:val="both"/>
        <w:rPr>
          <w:b/>
          <w:szCs w:val="24"/>
        </w:rPr>
      </w:pPr>
      <w:r>
        <w:rPr>
          <w:b/>
          <w:szCs w:val="24"/>
        </w:rPr>
        <w:t xml:space="preserve"> моторная лодка «Brig Eagle 380 HDL»</w:t>
      </w:r>
      <w:r>
        <w:rPr>
          <w:sz w:val="22"/>
        </w:rPr>
        <w:t xml:space="preserve"> </w:t>
      </w:r>
      <w:r>
        <w:rPr>
          <w:b/>
          <w:szCs w:val="24"/>
        </w:rPr>
        <w:t>(строительный  № UA QRK73234C708, бортовой № РМК 11-76) в комплекте с лодочным мотором HONDA BF 50 SRTD. Подробная характеристика  и имущественная принадлежность указаны в судовом билете маломерного судна серии Д № 589378 от 12.03.2013;</w:t>
      </w:r>
    </w:p>
    <w:p w:rsidR="00557A6F" w:rsidRDefault="00557A6F" w:rsidP="00557A6F">
      <w:pPr>
        <w:tabs>
          <w:tab w:val="left" w:pos="-360"/>
          <w:tab w:val="left" w:pos="284"/>
          <w:tab w:val="left" w:pos="851"/>
        </w:tabs>
        <w:spacing w:before="120" w:line="18" w:lineRule="atLeast"/>
        <w:jc w:val="both"/>
        <w:rPr>
          <w:b/>
          <w:szCs w:val="24"/>
        </w:rPr>
      </w:pPr>
    </w:p>
    <w:p w:rsidR="00557A6F" w:rsidRDefault="00557A6F" w:rsidP="00557A6F">
      <w:pPr>
        <w:tabs>
          <w:tab w:val="left" w:pos="-360"/>
          <w:tab w:val="left" w:pos="284"/>
          <w:tab w:val="left" w:pos="851"/>
        </w:tabs>
        <w:spacing w:before="120" w:line="18" w:lineRule="atLeast"/>
        <w:jc w:val="both"/>
        <w:rPr>
          <w:b/>
          <w:szCs w:val="24"/>
        </w:rPr>
      </w:pPr>
      <w:r>
        <w:rPr>
          <w:b/>
          <w:szCs w:val="24"/>
        </w:rPr>
        <w:t xml:space="preserve"> гидроцикл «Sea Doo RXP- 215»</w:t>
      </w:r>
      <w:r>
        <w:rPr>
          <w:sz w:val="22"/>
        </w:rPr>
        <w:t xml:space="preserve"> </w:t>
      </w:r>
      <w:r>
        <w:rPr>
          <w:b/>
          <w:szCs w:val="24"/>
        </w:rPr>
        <w:t>(строительный № YDV45871D707, бортовой № РМК 11-77) Подробная характеристика и  имущественная принадлежность указаны в судовом билете маломерного судна серии Д № 589379 от 12.03.2013.</w:t>
      </w:r>
    </w:p>
    <w:p w:rsidR="00557A6F" w:rsidRDefault="00557A6F" w:rsidP="00557A6F">
      <w:pPr>
        <w:tabs>
          <w:tab w:val="left" w:pos="-360"/>
          <w:tab w:val="left" w:pos="284"/>
          <w:tab w:val="left" w:pos="851"/>
        </w:tabs>
        <w:spacing w:before="120" w:line="18" w:lineRule="atLeast"/>
        <w:jc w:val="both"/>
        <w:rPr>
          <w:szCs w:val="24"/>
        </w:rPr>
      </w:pPr>
    </w:p>
    <w:p w:rsidR="00557A6F" w:rsidRDefault="00557A6F" w:rsidP="00557A6F">
      <w:pPr>
        <w:tabs>
          <w:tab w:val="left" w:pos="-360"/>
        </w:tabs>
        <w:spacing w:before="120" w:line="18" w:lineRule="atLeast"/>
        <w:jc w:val="both"/>
        <w:rPr>
          <w:b/>
        </w:rPr>
      </w:pPr>
      <w:r>
        <w:tab/>
        <w:t>Имущество принадлежит ОАО «Э.ОН Россия» на праве собственности . Обременений нет.</w:t>
      </w:r>
    </w:p>
    <w:p w:rsidR="00557A6F" w:rsidRDefault="00557A6F" w:rsidP="00557A6F">
      <w:pPr>
        <w:ind w:firstLine="709"/>
        <w:jc w:val="both"/>
      </w:pPr>
      <w:r>
        <w:rPr>
          <w:b/>
        </w:rPr>
        <w:lastRenderedPageBreak/>
        <w:t>Начальная цена Имущества</w:t>
      </w:r>
      <w:r>
        <w:t xml:space="preserve"> (цена, ниже которой не может быть продано Имущество) составляет </w:t>
      </w:r>
      <w:r>
        <w:rPr>
          <w:color w:val="000000"/>
        </w:rPr>
        <w:t xml:space="preserve">38 640 000 (тридцать восемь миллионов шестьсот сорок тысяч ) </w:t>
      </w:r>
      <w:r>
        <w:t>рублей 00 копеек с учетом НДС.</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rPr>
          <w:szCs w:val="24"/>
        </w:rPr>
        <w:t>Запрос предложений является открытым по составу участников и закрытым по форме подачи предложений по цене приобретения Имущества (далее - Предложение)</w:t>
      </w:r>
      <w:r>
        <w:t>.</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rPr>
          <w:szCs w:val="24"/>
        </w:rPr>
      </w:pPr>
      <w:r>
        <w:rPr>
          <w:szCs w:val="24"/>
        </w:rPr>
        <w:t xml:space="preserve">Прием Предложений осуществляется </w:t>
      </w:r>
      <w:r>
        <w:rPr>
          <w:b/>
          <w:szCs w:val="24"/>
          <w:lang w:val="en-US"/>
        </w:rPr>
        <w:t>c</w:t>
      </w:r>
      <w:r w:rsidRPr="00557A6F">
        <w:rPr>
          <w:szCs w:val="24"/>
        </w:rPr>
        <w:t xml:space="preserve"> </w:t>
      </w:r>
      <w:r>
        <w:rPr>
          <w:b/>
        </w:rPr>
        <w:t>24.03.</w:t>
      </w:r>
      <w:r>
        <w:rPr>
          <w:b/>
          <w:bCs/>
          <w:iCs/>
        </w:rPr>
        <w:t>2014 г. по 30.04.2014 г.</w:t>
      </w:r>
      <w:r>
        <w:rPr>
          <w:szCs w:val="24"/>
        </w:rPr>
        <w:t xml:space="preserve"> (включительно) в рабочие дни </w:t>
      </w:r>
      <w:r>
        <w:t>по графику пятидневной рабочей недели</w:t>
      </w:r>
      <w:r>
        <w:rPr>
          <w:b/>
          <w:szCs w:val="24"/>
        </w:rPr>
        <w:t xml:space="preserve"> с 9-00 до 17-00 часов</w:t>
      </w:r>
      <w:r>
        <w:rPr>
          <w:szCs w:val="24"/>
        </w:rPr>
        <w:t xml:space="preserve"> по </w:t>
      </w:r>
      <w:r>
        <w:t>местному времени</w:t>
      </w:r>
      <w:r>
        <w:rPr>
          <w:szCs w:val="24"/>
        </w:rPr>
        <w:t xml:space="preserve"> по адресу приема Предложений, указанному в объявлении </w:t>
      </w:r>
      <w:r>
        <w:t xml:space="preserve">о проведении открытого запроса предложений (далее - </w:t>
      </w:r>
      <w:r>
        <w:rPr>
          <w:szCs w:val="24"/>
        </w:rPr>
        <w:t>Объявление</w:t>
      </w:r>
      <w:r>
        <w:t>)</w:t>
      </w:r>
      <w:r>
        <w:rPr>
          <w:spacing w:val="-1"/>
          <w:szCs w:val="24"/>
        </w:rPr>
        <w:t>.</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rPr>
          <w:szCs w:val="24"/>
        </w:rPr>
      </w:pPr>
      <w:r>
        <w:rPr>
          <w:szCs w:val="24"/>
        </w:rPr>
        <w:t xml:space="preserve">В целях обеспечения публичности, объективности и состязательности процедуры открытого запроса предложений Объявление было опубликовано на веб-сайте ОАО «Э.ОН Россия»: </w:t>
      </w:r>
      <w:hyperlink r:id="rId5" w:history="1">
        <w:r>
          <w:rPr>
            <w:rStyle w:val="a3"/>
            <w:szCs w:val="24"/>
          </w:rPr>
          <w:t>http://eon-russia.ru</w:t>
        </w:r>
      </w:hyperlink>
      <w:r>
        <w:t xml:space="preserve">. Дополнительно </w:t>
      </w:r>
      <w:r>
        <w:rPr>
          <w:szCs w:val="24"/>
        </w:rPr>
        <w:t>информационное сообщение будет опубликовано в журналах: «Катера и яхты»,  «</w:t>
      </w:r>
      <w:r>
        <w:rPr>
          <w:szCs w:val="24"/>
          <w:lang w:val="en-US"/>
        </w:rPr>
        <w:t>Motor</w:t>
      </w:r>
      <w:r w:rsidRPr="00557A6F">
        <w:rPr>
          <w:szCs w:val="24"/>
        </w:rPr>
        <w:t xml:space="preserve"> </w:t>
      </w:r>
      <w:r>
        <w:rPr>
          <w:szCs w:val="24"/>
          <w:lang w:val="en-US"/>
        </w:rPr>
        <w:t>Boat</w:t>
      </w:r>
      <w:r>
        <w:rPr>
          <w:szCs w:val="24"/>
        </w:rPr>
        <w:t>».</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t>Претендент, намеренный приобрести Имущество, лично, либо через уполномоченного представителя Претендента, имеющего полномочия на подачу Предложения, предоставляет нарочным контактному лицу, ответственному за прием предложений по цене приобретения Имущества</w:t>
      </w:r>
      <w:r>
        <w:rPr>
          <w:b/>
        </w:rPr>
        <w:t xml:space="preserve"> </w:t>
      </w:r>
      <w:r>
        <w:t xml:space="preserve">(далее - Контактное лицо), </w:t>
      </w:r>
      <w:r>
        <w:rPr>
          <w:szCs w:val="24"/>
        </w:rPr>
        <w:t>указанному в Объявлении,</w:t>
      </w:r>
      <w:r>
        <w:t xml:space="preserve"> оформленное надлежащим образом Предложение, либо направляет его почтовым отправлением (заказным письмом) по адресу приема Предложений, указанному в Объявлении, в запечатанном конверте, скрепленном подписью и печатью Претендента (в случае подачи Предложения физическим лицом – только подписью Претендента). Цена Предложения проставляется с учетом НДС. В случае если числом и прописью указываются разные цены, принимается во внимание цена, указанная прописью. На конверте делается пометка «Предложение по цене приобретения открытого запроса предложений», а также указывается контактная информация о Претенденте, включая наименование Претендента, номер контактного телефона с кодом города, номер факса, адрес электронной почты.</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t>До даты завершения срока приема Предложений Претендент вправе отозвать свое Предложение, представив Контактному лицу по адресу приема Предложений заявление об отзыве поданного Предложения в письменной форме за подписью уполномоченного лица. В период срока приема Предложений Претендент вправе подать Предложение повторно.</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rPr>
          <w:szCs w:val="24"/>
        </w:rPr>
      </w:pPr>
      <w:r>
        <w:t>Один Претендент имеет право подать только одно Предложение. Если одним Претендентом поданы несколько Предложений, то принимается к рассмотрению наиболее позднее зарегистрированное Предложение, не отозванное Претендентом.</w:t>
      </w:r>
    </w:p>
    <w:p w:rsidR="00557A6F" w:rsidRDefault="00557A6F" w:rsidP="00557A6F">
      <w:pPr>
        <w:numPr>
          <w:ilvl w:val="0"/>
          <w:numId w:val="1"/>
        </w:numPr>
        <w:tabs>
          <w:tab w:val="clear" w:pos="360"/>
          <w:tab w:val="left" w:pos="-360"/>
          <w:tab w:val="num" w:pos="0"/>
          <w:tab w:val="left" w:pos="284"/>
          <w:tab w:val="left" w:pos="426"/>
        </w:tabs>
        <w:spacing w:before="120" w:line="18" w:lineRule="atLeast"/>
        <w:ind w:left="0" w:firstLine="0"/>
        <w:jc w:val="both"/>
      </w:pPr>
      <w:r>
        <w:t>Контактное лицо проверяет правильность представленных Претендентами документов, определяет их соответствие перечню, приведенному в Объявлении, а также требованиям законодательства Российской Федерации и настоящего Положения.</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t>По результатам рассмотрения поступившего Предложения и прилагаемых к нему документов Контактное лицо либо регистрирует Предложение в Журнале учета и регистрации предложений, либо отказывает в его регистрации и делает соответствующую запись о причинах отказа в Журнале учета и регистрации предложений. При этом на одном экземпляре описи документов Контактное лицо делает отметку с указанием регистрационного номера, даты и времени регистрации Предложения в Журнале учета и регистрации предложений, в случае его принятия, либо делает отметку о причинах отказа и вручает этот экземпляр Претенденту,  либо  уполномоченному представителю Претендента, либо отправляет посредством факсимильной или электронной связи, если Предложение поступило Организатору открытого запроса предложений почтовым отправлением (заказным письмом) по координатам, указанным Претендентом на запечатанном конверте.</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lastRenderedPageBreak/>
        <w:t>Контактное лицо отказывает Претенденту в регистрации Предложения в следующих случаях:</w:t>
      </w:r>
    </w:p>
    <w:p w:rsidR="00557A6F" w:rsidRDefault="00557A6F" w:rsidP="00557A6F">
      <w:pPr>
        <w:pStyle w:val="1"/>
        <w:ind w:firstLine="567"/>
        <w:jc w:val="both"/>
        <w:rPr>
          <w:sz w:val="24"/>
        </w:rPr>
      </w:pPr>
      <w:r>
        <w:rPr>
          <w:b/>
          <w:sz w:val="24"/>
        </w:rPr>
        <w:t>а)</w:t>
      </w:r>
      <w:r>
        <w:rPr>
          <w:sz w:val="24"/>
        </w:rPr>
        <w:t xml:space="preserve">   Предложение представлено по истечении срока приема Предложений, указанного в Объявлении;</w:t>
      </w:r>
    </w:p>
    <w:p w:rsidR="00557A6F" w:rsidRDefault="00557A6F" w:rsidP="00557A6F">
      <w:pPr>
        <w:pStyle w:val="1"/>
        <w:ind w:firstLine="567"/>
        <w:jc w:val="both"/>
        <w:rPr>
          <w:sz w:val="24"/>
        </w:rPr>
      </w:pPr>
      <w:r>
        <w:rPr>
          <w:b/>
          <w:sz w:val="24"/>
        </w:rPr>
        <w:t>б)</w:t>
      </w:r>
      <w:r>
        <w:rPr>
          <w:sz w:val="24"/>
        </w:rPr>
        <w:t xml:space="preserve"> </w:t>
      </w:r>
      <w:r>
        <w:rPr>
          <w:sz w:val="24"/>
          <w:szCs w:val="24"/>
        </w:rPr>
        <w:t>представлены не все документы, предусмотренные Объявлением, либо представленные документы  оформлены не в соответствии с требованиями, предусмотренными Объявлением</w:t>
      </w:r>
      <w:r>
        <w:rPr>
          <w:sz w:val="24"/>
        </w:rPr>
        <w:t>;</w:t>
      </w:r>
    </w:p>
    <w:p w:rsidR="00557A6F" w:rsidRDefault="00557A6F" w:rsidP="00557A6F">
      <w:pPr>
        <w:pStyle w:val="1"/>
        <w:ind w:firstLine="567"/>
        <w:jc w:val="both"/>
        <w:rPr>
          <w:sz w:val="24"/>
        </w:rPr>
      </w:pPr>
      <w:r>
        <w:rPr>
          <w:b/>
          <w:sz w:val="24"/>
        </w:rPr>
        <w:t>в)</w:t>
      </w:r>
      <w:r>
        <w:rPr>
          <w:sz w:val="24"/>
        </w:rPr>
        <w:t xml:space="preserve">  Предложение представлено лицом, не уполномоченным Претендентом на осуществление таких действий;</w:t>
      </w:r>
    </w:p>
    <w:p w:rsidR="00557A6F" w:rsidRDefault="00557A6F" w:rsidP="00557A6F">
      <w:pPr>
        <w:pStyle w:val="1"/>
        <w:ind w:firstLine="567"/>
        <w:jc w:val="both"/>
        <w:rPr>
          <w:sz w:val="24"/>
        </w:rPr>
      </w:pPr>
      <w:r>
        <w:rPr>
          <w:b/>
          <w:sz w:val="24"/>
        </w:rPr>
        <w:t>г)</w:t>
      </w:r>
      <w:r>
        <w:rPr>
          <w:sz w:val="24"/>
        </w:rPr>
        <w:t xml:space="preserve">  Организатор принял решение о прекращении проведения процедуры открытого запроса предложений по любой причине.</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t>По окончании срока приема Предложений Контактное лицо передает зарегистрированные Предложения на рассмотрение Комиссии по проведению открытого запроса предложений (далее - Комиссия), назначаемой Организатором.</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t>Комиссия рассматривает Предложения по существу и вправе отказать в допуске к участию в открытом запросе предложений Претенденту в следующих случаях:</w:t>
      </w:r>
    </w:p>
    <w:p w:rsidR="00557A6F" w:rsidRDefault="00557A6F" w:rsidP="00557A6F">
      <w:pPr>
        <w:pStyle w:val="1"/>
        <w:ind w:firstLine="567"/>
        <w:jc w:val="both"/>
        <w:rPr>
          <w:sz w:val="24"/>
          <w:szCs w:val="24"/>
        </w:rPr>
      </w:pPr>
      <w:r>
        <w:rPr>
          <w:b/>
          <w:sz w:val="24"/>
          <w:szCs w:val="24"/>
        </w:rPr>
        <w:t>а)</w:t>
      </w:r>
      <w:r>
        <w:rPr>
          <w:sz w:val="24"/>
          <w:szCs w:val="24"/>
        </w:rPr>
        <w:t xml:space="preserve"> представленные документы не подтверждают право Претендента быть покупателем Имущества в соответствии с законодательством Российской Федерации или учредительными документами;</w:t>
      </w:r>
    </w:p>
    <w:p w:rsidR="00557A6F" w:rsidRDefault="00557A6F" w:rsidP="00557A6F">
      <w:pPr>
        <w:pStyle w:val="1"/>
        <w:ind w:firstLine="567"/>
        <w:jc w:val="both"/>
        <w:rPr>
          <w:sz w:val="24"/>
          <w:szCs w:val="24"/>
        </w:rPr>
      </w:pPr>
      <w:r>
        <w:rPr>
          <w:b/>
          <w:sz w:val="24"/>
          <w:szCs w:val="24"/>
        </w:rPr>
        <w:t>б)</w:t>
      </w:r>
      <w:r>
        <w:rPr>
          <w:sz w:val="24"/>
          <w:szCs w:val="24"/>
        </w:rPr>
        <w:t xml:space="preserve"> если представленный Претендентом вместе с Предложением подписанный с его стороны проект договора купли-продажи недвижимого имущества, не соответствует или не в полной мере соответствует проекту договора, зафиксированному в Форме договора купли-продажи недвижимого имущества либо Претендент представил одновременно с подписанным проектом договора подписанный протокол разногласий к проекту договора или иной документ, свидетельствующий о наличии у Претендента возражений относительно одного или нескольких условий сделки купли-продажи недвижимого имущества, включенных в проект договора, зафиксированный в Форме договора купли-продажи недвижимого имущества.</w:t>
      </w:r>
    </w:p>
    <w:p w:rsidR="00557A6F" w:rsidRDefault="00557A6F" w:rsidP="00557A6F">
      <w:pPr>
        <w:pStyle w:val="1"/>
        <w:ind w:firstLine="567"/>
        <w:jc w:val="both"/>
        <w:rPr>
          <w:sz w:val="24"/>
          <w:szCs w:val="24"/>
        </w:rPr>
      </w:pPr>
      <w:r>
        <w:rPr>
          <w:b/>
          <w:sz w:val="24"/>
          <w:szCs w:val="24"/>
        </w:rPr>
        <w:t>в)</w:t>
      </w:r>
      <w:r>
        <w:rPr>
          <w:sz w:val="24"/>
          <w:szCs w:val="24"/>
        </w:rPr>
        <w:t xml:space="preserve"> если после вскрытия конвертов с предложениями, Комиссией установлено, что предложение подписано лицом, не уполномоченным Претендентом на осуществление таких действий, или предложение содержит цену ниже начальной цены.</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rPr>
          <w:szCs w:val="24"/>
        </w:rPr>
      </w:pPr>
      <w:r>
        <w:rPr>
          <w:szCs w:val="24"/>
        </w:rPr>
        <w:t xml:space="preserve">Подведение итогов  открытого запроса предложений, сопровождающееся заседанием Комиссии в очной форме, которое состоится </w:t>
      </w:r>
      <w:r>
        <w:rPr>
          <w:b/>
          <w:szCs w:val="24"/>
          <w:u w:val="single"/>
        </w:rPr>
        <w:t>13.05</w:t>
      </w:r>
      <w:r>
        <w:rPr>
          <w:szCs w:val="24"/>
        </w:rPr>
        <w:t>.</w:t>
      </w:r>
      <w:r>
        <w:rPr>
          <w:b/>
          <w:u w:val="single"/>
        </w:rPr>
        <w:t>2014 г. в 10.00</w:t>
      </w:r>
      <w:r>
        <w:rPr>
          <w:szCs w:val="24"/>
          <w:u w:val="single"/>
        </w:rPr>
        <w:t xml:space="preserve"> </w:t>
      </w:r>
      <w:r>
        <w:rPr>
          <w:b/>
          <w:szCs w:val="24"/>
          <w:u w:val="single"/>
        </w:rPr>
        <w:t>по московскому времени</w:t>
      </w:r>
      <w:r>
        <w:rPr>
          <w:szCs w:val="24"/>
        </w:rPr>
        <w:t xml:space="preserve"> по адресу: </w:t>
      </w:r>
      <w:r>
        <w:rPr>
          <w:spacing w:val="-1"/>
          <w:szCs w:val="24"/>
        </w:rPr>
        <w:t>123317,</w:t>
      </w:r>
      <w:r>
        <w:rPr>
          <w:szCs w:val="24"/>
        </w:rPr>
        <w:t xml:space="preserve"> г. Москва, </w:t>
      </w:r>
      <w:r>
        <w:rPr>
          <w:spacing w:val="-1"/>
          <w:szCs w:val="24"/>
        </w:rPr>
        <w:t xml:space="preserve">Пресненская набережная, д. 10, блок </w:t>
      </w:r>
      <w:r>
        <w:rPr>
          <w:spacing w:val="-1"/>
          <w:szCs w:val="24"/>
          <w:lang w:val="en-US"/>
        </w:rPr>
        <w:t>B</w:t>
      </w:r>
      <w:r>
        <w:rPr>
          <w:szCs w:val="24"/>
        </w:rPr>
        <w:t>.</w:t>
      </w:r>
    </w:p>
    <w:p w:rsidR="00557A6F" w:rsidRDefault="00557A6F" w:rsidP="00557A6F">
      <w:pPr>
        <w:numPr>
          <w:ilvl w:val="0"/>
          <w:numId w:val="1"/>
        </w:numPr>
        <w:tabs>
          <w:tab w:val="left" w:pos="-360"/>
          <w:tab w:val="num" w:pos="0"/>
          <w:tab w:val="left" w:pos="284"/>
          <w:tab w:val="left" w:pos="851"/>
        </w:tabs>
        <w:spacing w:before="120" w:line="18" w:lineRule="atLeast"/>
        <w:ind w:left="0" w:firstLine="0"/>
        <w:jc w:val="both"/>
      </w:pPr>
      <w:r>
        <w:rPr>
          <w:szCs w:val="24"/>
        </w:rPr>
        <w:t>В ходе заседания Комиссия:</w:t>
      </w:r>
    </w:p>
    <w:p w:rsidR="00557A6F" w:rsidRDefault="00557A6F" w:rsidP="00557A6F">
      <w:pPr>
        <w:autoSpaceDE w:val="0"/>
        <w:autoSpaceDN w:val="0"/>
        <w:adjustRightInd w:val="0"/>
        <w:spacing w:after="12" w:line="288" w:lineRule="auto"/>
        <w:ind w:right="61" w:firstLine="708"/>
        <w:jc w:val="both"/>
        <w:rPr>
          <w:color w:val="000000"/>
        </w:rPr>
      </w:pPr>
      <w:r>
        <w:rPr>
          <w:b/>
          <w:color w:val="000000"/>
        </w:rPr>
        <w:t>а)</w:t>
      </w:r>
      <w:r>
        <w:rPr>
          <w:color w:val="000000"/>
        </w:rPr>
        <w:t xml:space="preserve"> проверяет целостность запечатанных конвертов с Предложениями;</w:t>
      </w:r>
    </w:p>
    <w:p w:rsidR="00557A6F" w:rsidRDefault="00557A6F" w:rsidP="00557A6F">
      <w:pPr>
        <w:pStyle w:val="1"/>
        <w:spacing w:line="288" w:lineRule="auto"/>
        <w:ind w:right="61" w:firstLine="708"/>
        <w:jc w:val="both"/>
        <w:rPr>
          <w:sz w:val="24"/>
        </w:rPr>
      </w:pPr>
      <w:r>
        <w:rPr>
          <w:b/>
          <w:sz w:val="24"/>
        </w:rPr>
        <w:t>б)</w:t>
      </w:r>
      <w:r>
        <w:rPr>
          <w:sz w:val="24"/>
        </w:rPr>
        <w:t xml:space="preserve"> определяет Победителя открытого запроса предложений, оформляет и подписывает протокол об итогах открытого запроса предложений;</w:t>
      </w:r>
    </w:p>
    <w:p w:rsidR="00557A6F" w:rsidRDefault="00557A6F" w:rsidP="00557A6F">
      <w:pPr>
        <w:pStyle w:val="1"/>
        <w:spacing w:line="288" w:lineRule="auto"/>
        <w:ind w:right="61" w:firstLine="708"/>
        <w:jc w:val="both"/>
        <w:rPr>
          <w:sz w:val="24"/>
        </w:rPr>
      </w:pPr>
      <w:r>
        <w:rPr>
          <w:b/>
          <w:sz w:val="24"/>
        </w:rPr>
        <w:t>в)</w:t>
      </w:r>
      <w:r>
        <w:rPr>
          <w:sz w:val="24"/>
        </w:rPr>
        <w:t xml:space="preserve"> принимает решение о признании открытого запроса предложений несостоявшимся.</w:t>
      </w:r>
    </w:p>
    <w:p w:rsidR="00557A6F" w:rsidRDefault="00557A6F" w:rsidP="00557A6F">
      <w:pPr>
        <w:numPr>
          <w:ilvl w:val="0"/>
          <w:numId w:val="1"/>
        </w:numPr>
        <w:tabs>
          <w:tab w:val="clear" w:pos="360"/>
          <w:tab w:val="left" w:pos="-360"/>
          <w:tab w:val="num" w:pos="0"/>
          <w:tab w:val="left" w:pos="426"/>
        </w:tabs>
        <w:spacing w:before="120" w:line="18" w:lineRule="atLeast"/>
        <w:ind w:left="0" w:firstLine="0"/>
        <w:jc w:val="both"/>
        <w:rPr>
          <w:color w:val="000000"/>
        </w:rPr>
      </w:pPr>
      <w:r>
        <w:rPr>
          <w:color w:val="000000"/>
        </w:rPr>
        <w:t xml:space="preserve">Предложения, полностью удовлетворяющие требованиям Организатора, ранжируются по предложенным ценам на Имущество, указанным в предложениях, в порядке их убывания. </w:t>
      </w:r>
      <w:r>
        <w:t>В случае если наибольшую цену предложили несколько Претендентов, ранжирование производится с учетом приоритета по времени регистрации предложений в Журнале учета и регистрации предложений.</w:t>
      </w:r>
    </w:p>
    <w:p w:rsidR="00557A6F" w:rsidRDefault="00557A6F" w:rsidP="00557A6F">
      <w:pPr>
        <w:numPr>
          <w:ilvl w:val="0"/>
          <w:numId w:val="1"/>
        </w:numPr>
        <w:tabs>
          <w:tab w:val="clear" w:pos="360"/>
          <w:tab w:val="left" w:pos="-360"/>
          <w:tab w:val="num" w:pos="0"/>
          <w:tab w:val="left" w:pos="284"/>
          <w:tab w:val="left" w:pos="426"/>
        </w:tabs>
        <w:spacing w:before="120" w:line="18" w:lineRule="atLeast"/>
        <w:ind w:left="0" w:firstLine="0"/>
        <w:jc w:val="both"/>
        <w:rPr>
          <w:szCs w:val="24"/>
        </w:rPr>
      </w:pPr>
      <w:r>
        <w:t xml:space="preserve">Победителем открытого запроса предложений (далее - Победитель) признается допущенный к участию в открытом запросе предложений Претендент, предложивший наибольшую цену за Имущество, при условии, что предложенная им цена не ниже начальной цены Имущества. В случае если наибольшую цену предложили несколько </w:t>
      </w:r>
      <w:r>
        <w:lastRenderedPageBreak/>
        <w:t>Претендентов, Победителем признается Претендент, Предложение которого было зарегистрировано Контактным лицом ранее остальных</w:t>
      </w:r>
      <w:r>
        <w:rPr>
          <w:szCs w:val="24"/>
        </w:rPr>
        <w:t>.</w:t>
      </w:r>
    </w:p>
    <w:p w:rsidR="00557A6F" w:rsidRDefault="00557A6F" w:rsidP="00557A6F">
      <w:pPr>
        <w:numPr>
          <w:ilvl w:val="0"/>
          <w:numId w:val="1"/>
        </w:numPr>
        <w:tabs>
          <w:tab w:val="clear" w:pos="360"/>
          <w:tab w:val="left" w:pos="-360"/>
          <w:tab w:val="num" w:pos="0"/>
          <w:tab w:val="left" w:pos="284"/>
          <w:tab w:val="left" w:pos="426"/>
        </w:tabs>
        <w:spacing w:before="120" w:line="18" w:lineRule="atLeast"/>
        <w:ind w:left="0" w:firstLine="0"/>
        <w:jc w:val="both"/>
      </w:pPr>
      <w:r>
        <w:rPr>
          <w:rFonts w:eastAsia="Calibri"/>
          <w:lang w:eastAsia="en-US"/>
        </w:rPr>
        <w:t>Если в течение срока приема Предложений, указанного в Объявлении, подано только одно Предложение, которое соответствует требованиям, установленным Объявлением, то Комиссия признает Победителем и подписывает протокол об итогах открытого запроса предложений с Претендентом, подавшим такое Предложение.</w:t>
      </w:r>
    </w:p>
    <w:p w:rsidR="00557A6F" w:rsidRDefault="00557A6F" w:rsidP="00557A6F">
      <w:pPr>
        <w:numPr>
          <w:ilvl w:val="0"/>
          <w:numId w:val="1"/>
        </w:numPr>
        <w:tabs>
          <w:tab w:val="clear" w:pos="360"/>
          <w:tab w:val="left" w:pos="-360"/>
          <w:tab w:val="num" w:pos="0"/>
          <w:tab w:val="left" w:pos="284"/>
          <w:tab w:val="left" w:pos="426"/>
          <w:tab w:val="left" w:pos="851"/>
        </w:tabs>
        <w:spacing w:before="120" w:line="18" w:lineRule="atLeast"/>
        <w:ind w:left="0" w:firstLine="0"/>
        <w:jc w:val="both"/>
        <w:rPr>
          <w:szCs w:val="24"/>
        </w:rPr>
      </w:pPr>
      <w:r>
        <w:rPr>
          <w:szCs w:val="24"/>
        </w:rPr>
        <w:t xml:space="preserve">Решение по результатам рассмотрения Предложений принимается Комиссией простым большинством голосов присутствующих на заседании членов Комиссии. </w:t>
      </w:r>
      <w:r>
        <w:rPr>
          <w:color w:val="000000"/>
        </w:rPr>
        <w:t>При голосовании каждый член Комиссии имеет один голос. Комиссия правомочна решать вопросы, отнесенные к ее компетенции, если на заседании присутствуют не менее половины ее членов.</w:t>
      </w:r>
    </w:p>
    <w:p w:rsidR="00557A6F" w:rsidRDefault="00557A6F" w:rsidP="00557A6F">
      <w:pPr>
        <w:numPr>
          <w:ilvl w:val="0"/>
          <w:numId w:val="1"/>
        </w:numPr>
        <w:tabs>
          <w:tab w:val="clear" w:pos="360"/>
          <w:tab w:val="left" w:pos="-360"/>
          <w:tab w:val="num" w:pos="0"/>
          <w:tab w:val="left" w:pos="284"/>
          <w:tab w:val="left" w:pos="426"/>
          <w:tab w:val="left" w:pos="851"/>
        </w:tabs>
        <w:spacing w:before="120" w:line="18" w:lineRule="atLeast"/>
        <w:ind w:left="0" w:firstLine="0"/>
        <w:jc w:val="both"/>
        <w:rPr>
          <w:color w:val="000000"/>
        </w:rPr>
      </w:pPr>
      <w:r>
        <w:rPr>
          <w:color w:val="000000"/>
        </w:rPr>
        <w:t>Решение Комиссии оформляется протоколом, который подписываются всеми членами Комиссии, принявшими участие в ее заседании. При подписании протокола мнения членов Комиссии выражаются словами "за" или "против".</w:t>
      </w:r>
    </w:p>
    <w:p w:rsidR="00557A6F" w:rsidRDefault="00557A6F" w:rsidP="00557A6F">
      <w:pPr>
        <w:numPr>
          <w:ilvl w:val="0"/>
          <w:numId w:val="1"/>
        </w:numPr>
        <w:tabs>
          <w:tab w:val="num" w:pos="0"/>
        </w:tabs>
        <w:spacing w:before="120"/>
        <w:ind w:left="0" w:firstLine="0"/>
        <w:jc w:val="both"/>
        <w:rPr>
          <w:szCs w:val="24"/>
        </w:rPr>
      </w:pPr>
      <w:r>
        <w:rPr>
          <w:szCs w:val="24"/>
        </w:rPr>
        <w:t xml:space="preserve">Протокол об итогах </w:t>
      </w:r>
      <w:r>
        <w:t>открытого запроса предложений</w:t>
      </w:r>
      <w:r>
        <w:rPr>
          <w:szCs w:val="24"/>
        </w:rPr>
        <w:t xml:space="preserve"> подписывается в день подведения итогов </w:t>
      </w:r>
      <w:r>
        <w:t>открытого запроса предложений в 1 (одном) экземпляре, в котором указывается имя (наименование) Победителя запроса предложений и предложенная им цена покупки Имущества.</w:t>
      </w:r>
    </w:p>
    <w:p w:rsidR="00557A6F" w:rsidRDefault="00557A6F" w:rsidP="00557A6F">
      <w:pPr>
        <w:numPr>
          <w:ilvl w:val="0"/>
          <w:numId w:val="1"/>
        </w:numPr>
        <w:tabs>
          <w:tab w:val="num" w:pos="0"/>
        </w:tabs>
        <w:spacing w:before="120"/>
        <w:ind w:left="0" w:firstLine="0"/>
        <w:jc w:val="both"/>
      </w:pPr>
      <w:r>
        <w:t>При наличии оснований для признания открытого запроса предложений несостоявшимся Комиссия принимает соответствующее решение, которое оформляется протоколом в 1 (одном) экземпляре.</w:t>
      </w:r>
    </w:p>
    <w:p w:rsidR="00557A6F" w:rsidRDefault="00557A6F" w:rsidP="00557A6F">
      <w:pPr>
        <w:numPr>
          <w:ilvl w:val="0"/>
          <w:numId w:val="1"/>
        </w:numPr>
        <w:tabs>
          <w:tab w:val="num" w:pos="0"/>
        </w:tabs>
        <w:spacing w:before="120"/>
        <w:ind w:left="0" w:firstLine="0"/>
        <w:jc w:val="both"/>
        <w:rPr>
          <w:szCs w:val="24"/>
        </w:rPr>
      </w:pPr>
      <w:r>
        <w:rPr>
          <w:szCs w:val="24"/>
        </w:rPr>
        <w:t>Договор купли-продажи недвижимого имущества подписывается между Организатором (Продавцом) и Победителем по форме, установленной Приложением № 5 к настоящему Положению, в срок, не позднее 20</w:t>
      </w:r>
      <w:r>
        <w:rPr>
          <w:bCs/>
          <w:szCs w:val="24"/>
        </w:rPr>
        <w:t xml:space="preserve"> (двадцати) календарных </w:t>
      </w:r>
      <w:r>
        <w:rPr>
          <w:szCs w:val="24"/>
        </w:rPr>
        <w:t>дней с даты подведения итогов открытого запроса предложений.</w:t>
      </w:r>
    </w:p>
    <w:p w:rsidR="00557A6F" w:rsidRDefault="00557A6F" w:rsidP="00557A6F">
      <w:pPr>
        <w:numPr>
          <w:ilvl w:val="0"/>
          <w:numId w:val="1"/>
        </w:numPr>
        <w:tabs>
          <w:tab w:val="clear" w:pos="360"/>
          <w:tab w:val="left" w:pos="-360"/>
          <w:tab w:val="left" w:pos="0"/>
          <w:tab w:val="left" w:pos="426"/>
        </w:tabs>
        <w:spacing w:before="120" w:line="18" w:lineRule="atLeast"/>
        <w:ind w:left="0" w:firstLine="0"/>
        <w:jc w:val="both"/>
      </w:pPr>
      <w:r>
        <w:t>В случае неисполнения победителем обязательств по заключению договора купли-продажи недвижимого имущества, а также в случае расторжения (признания недействительным или незаключенным) договора купли-продажи недвижимого имущества по основаниям, предусмотренным законом или этим договором,  Организатор (Продавец) оставляет за собой право признать в рамках проведенного открытого запроса предложений Победителем Претендента, предложившего следующую наиболее высокую либо такую же цену Имущества, с учетом</w:t>
      </w:r>
      <w:r w:rsidR="006129E4">
        <w:t xml:space="preserve"> критериев, предусмотренных п.16</w:t>
      </w:r>
      <w:bookmarkStart w:id="0" w:name="_GoBack"/>
      <w:bookmarkEnd w:id="0"/>
      <w:r>
        <w:t xml:space="preserve"> настоящего Положения.</w:t>
      </w:r>
    </w:p>
    <w:p w:rsidR="00557A6F" w:rsidRDefault="00557A6F" w:rsidP="00557A6F">
      <w:pPr>
        <w:numPr>
          <w:ilvl w:val="0"/>
          <w:numId w:val="1"/>
        </w:numPr>
        <w:tabs>
          <w:tab w:val="num" w:pos="0"/>
        </w:tabs>
        <w:spacing w:before="120"/>
        <w:ind w:left="0" w:firstLine="0"/>
        <w:jc w:val="both"/>
        <w:rPr>
          <w:szCs w:val="24"/>
        </w:rPr>
      </w:pPr>
      <w:r>
        <w:t>Организатор вправе отказаться в любое время от проведения открытого запроса предложений</w:t>
      </w:r>
      <w:r>
        <w:rPr>
          <w:rFonts w:ascii="Garamond" w:hAnsi="Garamond"/>
          <w:szCs w:val="24"/>
        </w:rPr>
        <w:t xml:space="preserve"> </w:t>
      </w:r>
      <w:r>
        <w:t xml:space="preserve">и/или принятия </w:t>
      </w:r>
      <w:r>
        <w:rPr>
          <w:lang/>
        </w:rPr>
        <w:t>всех полученных предложений</w:t>
      </w:r>
      <w:r>
        <w:t xml:space="preserve"> по любой причине и в любое время,  </w:t>
      </w:r>
      <w:r>
        <w:rPr>
          <w:lang/>
        </w:rPr>
        <w:t>в том числе и после определения победителя процедуры, не неся при этом никакой ответственности и обязательств перед Претендентами</w:t>
      </w:r>
      <w:r>
        <w:t xml:space="preserve">. В случае отказа от проведения открытого запроса предложений, Организатор публикует объявление об отказе проведения открытого запроса предложений </w:t>
      </w:r>
      <w:r>
        <w:rPr>
          <w:szCs w:val="24"/>
        </w:rPr>
        <w:t xml:space="preserve">на веб-сайте ОАО «Э.ОН Россия»: </w:t>
      </w:r>
      <w:hyperlink r:id="rId6" w:history="1">
        <w:r>
          <w:rPr>
            <w:rStyle w:val="a3"/>
            <w:szCs w:val="24"/>
          </w:rPr>
          <w:t>http://eon-russia.ru</w:t>
        </w:r>
      </w:hyperlink>
      <w:r>
        <w:rPr>
          <w:szCs w:val="24"/>
        </w:rPr>
        <w:t>.</w:t>
      </w:r>
    </w:p>
    <w:p w:rsidR="00557A6F" w:rsidRDefault="00557A6F" w:rsidP="00557A6F">
      <w:pPr>
        <w:tabs>
          <w:tab w:val="left" w:pos="851"/>
          <w:tab w:val="left" w:pos="4140"/>
        </w:tabs>
        <w:spacing w:line="18" w:lineRule="atLeast"/>
        <w:jc w:val="both"/>
        <w:rPr>
          <w:szCs w:val="24"/>
        </w:rPr>
      </w:pPr>
    </w:p>
    <w:p w:rsidR="00557A6F" w:rsidRDefault="00557A6F" w:rsidP="00557A6F">
      <w:pPr>
        <w:tabs>
          <w:tab w:val="left" w:pos="851"/>
          <w:tab w:val="left" w:pos="4140"/>
        </w:tabs>
        <w:spacing w:line="18" w:lineRule="atLeast"/>
        <w:jc w:val="both"/>
        <w:rPr>
          <w:szCs w:val="24"/>
        </w:rPr>
      </w:pPr>
      <w:r>
        <w:rPr>
          <w:szCs w:val="24"/>
        </w:rPr>
        <w:t>Приложения:</w:t>
      </w:r>
    </w:p>
    <w:p w:rsidR="00557A6F" w:rsidRDefault="00557A6F" w:rsidP="00557A6F">
      <w:pPr>
        <w:ind w:left="360" w:hanging="360"/>
        <w:jc w:val="both"/>
        <w:rPr>
          <w:szCs w:val="24"/>
        </w:rPr>
      </w:pPr>
    </w:p>
    <w:p w:rsidR="00557A6F" w:rsidRDefault="00557A6F" w:rsidP="00557A6F">
      <w:pPr>
        <w:numPr>
          <w:ilvl w:val="0"/>
          <w:numId w:val="2"/>
        </w:numPr>
        <w:tabs>
          <w:tab w:val="num" w:pos="360"/>
        </w:tabs>
        <w:ind w:left="360"/>
        <w:jc w:val="both"/>
        <w:rPr>
          <w:szCs w:val="24"/>
        </w:rPr>
      </w:pPr>
      <w:r>
        <w:rPr>
          <w:szCs w:val="24"/>
        </w:rPr>
        <w:t xml:space="preserve">Форма объявления о проведении </w:t>
      </w:r>
      <w:r>
        <w:t>открытого запроса предложений</w:t>
      </w:r>
      <w:r>
        <w:rPr>
          <w:szCs w:val="24"/>
        </w:rPr>
        <w:t>;</w:t>
      </w:r>
    </w:p>
    <w:p w:rsidR="00557A6F" w:rsidRDefault="00557A6F" w:rsidP="00557A6F">
      <w:pPr>
        <w:numPr>
          <w:ilvl w:val="0"/>
          <w:numId w:val="2"/>
        </w:numPr>
        <w:tabs>
          <w:tab w:val="num" w:pos="360"/>
        </w:tabs>
        <w:ind w:left="360"/>
        <w:jc w:val="both"/>
        <w:rPr>
          <w:szCs w:val="24"/>
        </w:rPr>
      </w:pPr>
      <w:r>
        <w:rPr>
          <w:szCs w:val="24"/>
        </w:rPr>
        <w:t>Форма предложения по цене приобретения имущества;</w:t>
      </w:r>
    </w:p>
    <w:p w:rsidR="00557A6F" w:rsidRDefault="00557A6F" w:rsidP="00557A6F">
      <w:pPr>
        <w:numPr>
          <w:ilvl w:val="0"/>
          <w:numId w:val="2"/>
        </w:numPr>
        <w:tabs>
          <w:tab w:val="num" w:pos="360"/>
        </w:tabs>
        <w:ind w:left="360"/>
        <w:jc w:val="both"/>
        <w:rPr>
          <w:szCs w:val="24"/>
        </w:rPr>
      </w:pPr>
      <w:r>
        <w:rPr>
          <w:szCs w:val="24"/>
        </w:rPr>
        <w:t>Форма описи документов;</w:t>
      </w:r>
    </w:p>
    <w:p w:rsidR="00557A6F" w:rsidRDefault="00557A6F" w:rsidP="00557A6F">
      <w:pPr>
        <w:numPr>
          <w:ilvl w:val="0"/>
          <w:numId w:val="2"/>
        </w:numPr>
        <w:tabs>
          <w:tab w:val="num" w:pos="360"/>
        </w:tabs>
        <w:ind w:left="360"/>
        <w:jc w:val="both"/>
        <w:rPr>
          <w:szCs w:val="24"/>
        </w:rPr>
      </w:pPr>
      <w:r>
        <w:rPr>
          <w:szCs w:val="24"/>
        </w:rPr>
        <w:t xml:space="preserve">Форма журнала учета и регистрации предложений; </w:t>
      </w:r>
    </w:p>
    <w:p w:rsidR="00557A6F" w:rsidRDefault="00557A6F" w:rsidP="00557A6F">
      <w:pPr>
        <w:numPr>
          <w:ilvl w:val="0"/>
          <w:numId w:val="2"/>
        </w:numPr>
        <w:tabs>
          <w:tab w:val="num" w:pos="360"/>
        </w:tabs>
        <w:ind w:left="360"/>
        <w:jc w:val="both"/>
        <w:rPr>
          <w:szCs w:val="24"/>
        </w:rPr>
      </w:pPr>
      <w:r>
        <w:rPr>
          <w:szCs w:val="24"/>
        </w:rPr>
        <w:t>Форма договора купли-продажи недвижимого имущества.</w:t>
      </w:r>
    </w:p>
    <w:p w:rsidR="00397CD1" w:rsidRDefault="00397CD1"/>
    <w:sectPr w:rsidR="00397CD1" w:rsidSect="00FE28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A3C"/>
    <w:multiLevelType w:val="hybridMultilevel"/>
    <w:tmpl w:val="70FA8D9C"/>
    <w:lvl w:ilvl="0" w:tplc="0F70C0A2">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53A20C9"/>
    <w:multiLevelType w:val="hybridMultilevel"/>
    <w:tmpl w:val="97F038C4"/>
    <w:lvl w:ilvl="0" w:tplc="E57415CE">
      <w:start w:val="1"/>
      <w:numFmt w:val="decimal"/>
      <w:lvlText w:val="%1."/>
      <w:lvlJc w:val="left"/>
      <w:pPr>
        <w:tabs>
          <w:tab w:val="num" w:pos="360"/>
        </w:tabs>
        <w:ind w:left="360" w:hanging="360"/>
      </w:pPr>
      <w:rPr>
        <w:b/>
        <w:color w:val="auto"/>
      </w:rPr>
    </w:lvl>
    <w:lvl w:ilvl="1" w:tplc="04190005">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786"/>
        </w:tabs>
        <w:ind w:left="786" w:hanging="360"/>
      </w:pPr>
    </w:lvl>
    <w:lvl w:ilvl="3" w:tplc="0419000F">
      <w:start w:val="1"/>
      <w:numFmt w:val="decimal"/>
      <w:lvlText w:val="%4."/>
      <w:lvlJc w:val="left"/>
      <w:pPr>
        <w:tabs>
          <w:tab w:val="num" w:pos="786"/>
        </w:tabs>
        <w:ind w:left="786"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57A6F"/>
    <w:rsid w:val="00397CD1"/>
    <w:rsid w:val="00557A6F"/>
    <w:rsid w:val="006129E4"/>
    <w:rsid w:val="007601FD"/>
    <w:rsid w:val="00F34A1D"/>
    <w:rsid w:val="00FE2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6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7A6F"/>
    <w:rPr>
      <w:color w:val="0000FF"/>
      <w:u w:val="single"/>
    </w:rPr>
  </w:style>
  <w:style w:type="paragraph" w:customStyle="1" w:styleId="1">
    <w:name w:val="Обычный1"/>
    <w:rsid w:val="00557A6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6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57A6F"/>
    <w:rPr>
      <w:color w:val="0000FF"/>
      <w:u w:val="single"/>
    </w:rPr>
  </w:style>
  <w:style w:type="paragraph" w:customStyle="1" w:styleId="1">
    <w:name w:val="Обычный1"/>
    <w:rsid w:val="00557A6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256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on-russia.ru" TargetMode="External"/><Relationship Id="rId5" Type="http://schemas.openxmlformats.org/officeDocument/2006/relationships/hyperlink" Target="http://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Порозова Нина Васильевна</dc:creator>
  <cp:lastModifiedBy>Pilyaeva</cp:lastModifiedBy>
  <cp:revision>4</cp:revision>
  <dcterms:created xsi:type="dcterms:W3CDTF">2014-02-28T08:40:00Z</dcterms:created>
  <dcterms:modified xsi:type="dcterms:W3CDTF">2014-03-05T10:26:00Z</dcterms:modified>
</cp:coreProperties>
</file>