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9B" w:rsidRPr="0042519B" w:rsidRDefault="0042519B" w:rsidP="00725038">
      <w:pPr>
        <w:pStyle w:val="a3"/>
        <w:spacing w:after="0"/>
        <w:ind w:firstLine="0"/>
        <w:jc w:val="center"/>
        <w:rPr>
          <w:rFonts w:ascii="Verdana" w:hAnsi="Verdana"/>
          <w:b/>
          <w:color w:val="auto"/>
          <w:sz w:val="22"/>
          <w:szCs w:val="22"/>
        </w:rPr>
      </w:pPr>
      <w:r w:rsidRPr="0042519B">
        <w:rPr>
          <w:rFonts w:ascii="Verdana" w:hAnsi="Verdana"/>
          <w:b/>
          <w:color w:val="auto"/>
          <w:sz w:val="22"/>
          <w:szCs w:val="22"/>
        </w:rPr>
        <w:t>З</w:t>
      </w:r>
      <w:r w:rsidR="008B72E5" w:rsidRPr="0042519B">
        <w:rPr>
          <w:rFonts w:ascii="Verdana" w:hAnsi="Verdana"/>
          <w:b/>
          <w:color w:val="auto"/>
          <w:sz w:val="22"/>
          <w:szCs w:val="22"/>
        </w:rPr>
        <w:t xml:space="preserve">адание </w:t>
      </w:r>
      <w:r w:rsidR="00640903" w:rsidRPr="0042519B">
        <w:rPr>
          <w:rFonts w:ascii="Verdana" w:hAnsi="Verdana"/>
          <w:b/>
          <w:color w:val="auto"/>
          <w:sz w:val="22"/>
          <w:szCs w:val="22"/>
        </w:rPr>
        <w:t>Заказчика</w:t>
      </w:r>
    </w:p>
    <w:p w:rsidR="008B72E5" w:rsidRPr="0042519B" w:rsidRDefault="008B72E5" w:rsidP="00725038">
      <w:pPr>
        <w:pStyle w:val="a3"/>
        <w:spacing w:after="0"/>
        <w:ind w:firstLine="0"/>
        <w:jc w:val="center"/>
        <w:rPr>
          <w:rFonts w:ascii="Verdana" w:hAnsi="Verdana"/>
          <w:b/>
          <w:color w:val="auto"/>
          <w:sz w:val="22"/>
          <w:szCs w:val="22"/>
        </w:rPr>
      </w:pPr>
      <w:r w:rsidRPr="0042519B">
        <w:rPr>
          <w:rFonts w:ascii="Verdana" w:hAnsi="Verdana"/>
          <w:b/>
          <w:color w:val="auto"/>
          <w:sz w:val="22"/>
          <w:szCs w:val="22"/>
        </w:rPr>
        <w:t xml:space="preserve">на разработку </w:t>
      </w:r>
      <w:r w:rsidR="00BE1B4C" w:rsidRPr="0042519B">
        <w:rPr>
          <w:rFonts w:ascii="Verdana" w:hAnsi="Verdana"/>
          <w:b/>
          <w:color w:val="auto"/>
          <w:sz w:val="22"/>
          <w:szCs w:val="22"/>
        </w:rPr>
        <w:t>методических указаний по учету активов ОАО</w:t>
      </w:r>
      <w:r w:rsidRPr="0042519B">
        <w:rPr>
          <w:rFonts w:ascii="Verdana" w:hAnsi="Verdana"/>
          <w:b/>
          <w:color w:val="auto"/>
          <w:sz w:val="22"/>
          <w:szCs w:val="22"/>
        </w:rPr>
        <w:t xml:space="preserve"> «Э.ОН Россия» для целей МСФО.</w:t>
      </w:r>
    </w:p>
    <w:p w:rsidR="00725038" w:rsidRDefault="00725038" w:rsidP="00725038">
      <w:pPr>
        <w:rPr>
          <w:rFonts w:ascii="Verdana" w:hAnsi="Verdana"/>
          <w:b/>
          <w:sz w:val="22"/>
          <w:szCs w:val="22"/>
        </w:rPr>
      </w:pPr>
      <w:bookmarkStart w:id="0" w:name="_Toc386639166"/>
    </w:p>
    <w:p w:rsidR="008B72E5" w:rsidRPr="00725038" w:rsidRDefault="008B72E5" w:rsidP="00725038">
      <w:pPr>
        <w:rPr>
          <w:rFonts w:ascii="Verdana" w:hAnsi="Verdana"/>
          <w:b/>
          <w:sz w:val="22"/>
          <w:szCs w:val="22"/>
        </w:rPr>
      </w:pPr>
      <w:r w:rsidRPr="00725038">
        <w:rPr>
          <w:rFonts w:ascii="Verdana" w:hAnsi="Verdana"/>
          <w:b/>
          <w:sz w:val="22"/>
          <w:szCs w:val="22"/>
        </w:rPr>
        <w:t>Сведения о Заказчике</w:t>
      </w:r>
      <w:bookmarkEnd w:id="0"/>
      <w:r w:rsidR="00725038">
        <w:rPr>
          <w:rFonts w:ascii="Verdana" w:hAnsi="Verdana"/>
          <w:b/>
          <w:sz w:val="22"/>
          <w:szCs w:val="22"/>
        </w:rPr>
        <w:t>:</w:t>
      </w:r>
    </w:p>
    <w:p w:rsidR="008B72E5" w:rsidRPr="0042519B" w:rsidRDefault="008B72E5" w:rsidP="00725038">
      <w:pPr>
        <w:jc w:val="both"/>
        <w:rPr>
          <w:rFonts w:ascii="Verdana" w:hAnsi="Verdana"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 xml:space="preserve">Открытое акционерное общество «Э.ОН Россия» (далее – Общество) является оптовой генерирующей компанией, в состав которой входят 6 филиалов: Сургутская ГРЭС-2, Березовская ГРЭС, </w:t>
      </w:r>
      <w:r w:rsidR="006349A4" w:rsidRPr="0042519B">
        <w:rPr>
          <w:rFonts w:ascii="Verdana" w:hAnsi="Verdana"/>
          <w:sz w:val="22"/>
          <w:szCs w:val="22"/>
        </w:rPr>
        <w:t>Э.ОН Инжиниринг,</w:t>
      </w:r>
      <w:r w:rsidRPr="0042519B">
        <w:rPr>
          <w:rFonts w:ascii="Verdana" w:hAnsi="Verdana"/>
          <w:sz w:val="22"/>
          <w:szCs w:val="22"/>
        </w:rPr>
        <w:t xml:space="preserve"> Шатурская ГРЭС, Смоленская ГРЭС, Яйвинская ГРЭС (далее – Филиалы ОАО «Э.ОН Россия»)</w:t>
      </w:r>
      <w:r w:rsidRPr="0042519B" w:rsidDel="00510178">
        <w:rPr>
          <w:rFonts w:ascii="Verdana" w:hAnsi="Verdana"/>
          <w:sz w:val="22"/>
          <w:szCs w:val="22"/>
        </w:rPr>
        <w:t xml:space="preserve"> </w:t>
      </w:r>
      <w:r w:rsidRPr="0042519B">
        <w:rPr>
          <w:rFonts w:ascii="Verdana" w:hAnsi="Verdana"/>
          <w:sz w:val="22"/>
          <w:szCs w:val="22"/>
        </w:rPr>
        <w:t xml:space="preserve"> и Исполнительный аппарат. </w:t>
      </w:r>
    </w:p>
    <w:p w:rsidR="00725038" w:rsidRDefault="00725038" w:rsidP="00725038">
      <w:pPr>
        <w:pStyle w:val="1"/>
        <w:spacing w:before="0" w:after="0" w:line="240" w:lineRule="auto"/>
        <w:ind w:firstLine="0"/>
        <w:jc w:val="left"/>
        <w:rPr>
          <w:rFonts w:ascii="Verdana" w:hAnsi="Verdana"/>
          <w:color w:val="auto"/>
          <w:sz w:val="22"/>
          <w:szCs w:val="22"/>
        </w:rPr>
      </w:pPr>
      <w:bookmarkStart w:id="1" w:name="_Toc386639167"/>
    </w:p>
    <w:p w:rsidR="008B72E5" w:rsidRPr="00725038" w:rsidRDefault="008B72E5" w:rsidP="00725038">
      <w:pPr>
        <w:pStyle w:val="1"/>
        <w:spacing w:before="0" w:after="0" w:line="240" w:lineRule="auto"/>
        <w:ind w:firstLine="0"/>
        <w:jc w:val="left"/>
        <w:rPr>
          <w:rFonts w:ascii="Verdana" w:hAnsi="Verdana"/>
          <w:color w:val="auto"/>
          <w:sz w:val="22"/>
          <w:szCs w:val="22"/>
        </w:rPr>
      </w:pPr>
      <w:r w:rsidRPr="00725038">
        <w:rPr>
          <w:rFonts w:ascii="Verdana" w:hAnsi="Verdana"/>
          <w:color w:val="auto"/>
          <w:sz w:val="22"/>
          <w:szCs w:val="22"/>
        </w:rPr>
        <w:t xml:space="preserve">Назначение и цель  разработки </w:t>
      </w:r>
      <w:r w:rsidR="001D22A7" w:rsidRPr="00725038">
        <w:rPr>
          <w:rFonts w:ascii="Verdana" w:hAnsi="Verdana"/>
          <w:color w:val="auto"/>
          <w:sz w:val="22"/>
          <w:szCs w:val="22"/>
        </w:rPr>
        <w:t xml:space="preserve">положений </w:t>
      </w:r>
      <w:r w:rsidR="00BE1B4C" w:rsidRPr="00725038">
        <w:rPr>
          <w:rFonts w:ascii="Verdana" w:hAnsi="Verdana"/>
          <w:color w:val="auto"/>
          <w:sz w:val="22"/>
          <w:szCs w:val="22"/>
        </w:rPr>
        <w:t xml:space="preserve">Методических указаний по учету активов ОАО «Э.ОН Россия» </w:t>
      </w:r>
      <w:r w:rsidR="001D22A7" w:rsidRPr="00725038">
        <w:rPr>
          <w:rFonts w:ascii="Verdana" w:hAnsi="Verdana"/>
          <w:color w:val="auto"/>
          <w:sz w:val="22"/>
          <w:szCs w:val="22"/>
        </w:rPr>
        <w:t>для целей МСФО</w:t>
      </w:r>
      <w:bookmarkEnd w:id="1"/>
    </w:p>
    <w:p w:rsidR="001D22A7" w:rsidRPr="0042519B" w:rsidRDefault="008B72E5" w:rsidP="00725038">
      <w:pPr>
        <w:jc w:val="both"/>
        <w:rPr>
          <w:rFonts w:ascii="Verdana" w:hAnsi="Verdana"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 xml:space="preserve">Назначением и целью разработки внутренних </w:t>
      </w:r>
      <w:r w:rsidR="00BE1B4C" w:rsidRPr="0042519B">
        <w:rPr>
          <w:rFonts w:ascii="Verdana" w:hAnsi="Verdana"/>
          <w:sz w:val="22"/>
          <w:szCs w:val="22"/>
        </w:rPr>
        <w:t>методических указаний по учету активов ОАО «Э.ОН Россия» для целей МСФО (далее – Методических указаний)</w:t>
      </w:r>
      <w:r w:rsidRPr="0042519B">
        <w:rPr>
          <w:rFonts w:ascii="Verdana" w:hAnsi="Verdana"/>
          <w:sz w:val="22"/>
          <w:szCs w:val="22"/>
        </w:rPr>
        <w:t xml:space="preserve"> является приведение к единообразию подходов и методов отражения хозяйственных операций</w:t>
      </w:r>
      <w:r w:rsidR="001D22A7" w:rsidRPr="0042519B">
        <w:rPr>
          <w:rFonts w:ascii="Verdana" w:hAnsi="Verdana"/>
          <w:sz w:val="22"/>
          <w:szCs w:val="22"/>
        </w:rPr>
        <w:t xml:space="preserve"> </w:t>
      </w:r>
      <w:r w:rsidRPr="0042519B">
        <w:rPr>
          <w:rFonts w:ascii="Verdana" w:hAnsi="Verdana"/>
          <w:sz w:val="22"/>
          <w:szCs w:val="22"/>
        </w:rPr>
        <w:t xml:space="preserve">  в соответствии со Стандартами Международной финансовой отчетности в  ИА и Филиалах Общества. </w:t>
      </w:r>
    </w:p>
    <w:p w:rsidR="008B72E5" w:rsidRPr="0042519B" w:rsidRDefault="008B72E5" w:rsidP="00725038">
      <w:pPr>
        <w:jc w:val="both"/>
        <w:rPr>
          <w:rFonts w:ascii="Verdana" w:hAnsi="Verdana"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 xml:space="preserve">Указанные разработки должны способствовать интеграции  бухгалтерского, финансового и управленческого учета, </w:t>
      </w:r>
      <w:r w:rsidR="001D22A7" w:rsidRPr="0042519B">
        <w:rPr>
          <w:rFonts w:ascii="Verdana" w:hAnsi="Verdana"/>
          <w:sz w:val="22"/>
          <w:szCs w:val="22"/>
        </w:rPr>
        <w:t xml:space="preserve">анализу </w:t>
      </w:r>
      <w:r w:rsidRPr="0042519B">
        <w:rPr>
          <w:rFonts w:ascii="Verdana" w:hAnsi="Verdana"/>
          <w:sz w:val="22"/>
          <w:szCs w:val="22"/>
        </w:rPr>
        <w:t xml:space="preserve"> существующих подходов к </w:t>
      </w:r>
      <w:r w:rsidR="001D22A7" w:rsidRPr="0042519B">
        <w:rPr>
          <w:rFonts w:ascii="Verdana" w:hAnsi="Verdana"/>
          <w:sz w:val="22"/>
          <w:szCs w:val="22"/>
        </w:rPr>
        <w:t>оценке и учету активов Общества, ремонтов основных средств</w:t>
      </w:r>
      <w:r w:rsidRPr="0042519B">
        <w:rPr>
          <w:rFonts w:ascii="Verdana" w:hAnsi="Verdana"/>
          <w:sz w:val="22"/>
          <w:szCs w:val="22"/>
        </w:rPr>
        <w:t xml:space="preserve"> и предложению более  конструктивных методов  </w:t>
      </w:r>
      <w:r w:rsidR="001D22A7" w:rsidRPr="0042519B">
        <w:rPr>
          <w:rFonts w:ascii="Verdana" w:hAnsi="Verdana"/>
          <w:sz w:val="22"/>
          <w:szCs w:val="22"/>
        </w:rPr>
        <w:t xml:space="preserve">оценки и учета активов «Общества </w:t>
      </w:r>
      <w:r w:rsidRPr="0042519B">
        <w:rPr>
          <w:rFonts w:ascii="Verdana" w:hAnsi="Verdana"/>
          <w:sz w:val="22"/>
          <w:szCs w:val="22"/>
        </w:rPr>
        <w:t xml:space="preserve"> при наличии опыта  работы Подрядчика/Исполнителя с другими энергетическими компаниями. </w:t>
      </w:r>
    </w:p>
    <w:p w:rsidR="008B72E5" w:rsidRPr="0042519B" w:rsidRDefault="001D22A7" w:rsidP="00725038">
      <w:pPr>
        <w:jc w:val="both"/>
        <w:rPr>
          <w:rFonts w:ascii="Verdana" w:hAnsi="Verdana"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>Данн</w:t>
      </w:r>
      <w:r w:rsidR="00416624" w:rsidRPr="0042519B">
        <w:rPr>
          <w:rFonts w:ascii="Verdana" w:hAnsi="Verdana"/>
          <w:sz w:val="22"/>
          <w:szCs w:val="22"/>
        </w:rPr>
        <w:t>ые Методические указания необходимы</w:t>
      </w:r>
      <w:r w:rsidRPr="0042519B">
        <w:rPr>
          <w:rFonts w:ascii="Verdana" w:hAnsi="Verdana"/>
          <w:sz w:val="22"/>
          <w:szCs w:val="22"/>
        </w:rPr>
        <w:t xml:space="preserve">  для </w:t>
      </w:r>
      <w:r w:rsidR="008B72E5" w:rsidRPr="0042519B">
        <w:rPr>
          <w:rFonts w:ascii="Verdana" w:hAnsi="Verdana"/>
          <w:sz w:val="22"/>
          <w:szCs w:val="22"/>
        </w:rPr>
        <w:t xml:space="preserve"> использова</w:t>
      </w:r>
      <w:r w:rsidRPr="0042519B">
        <w:rPr>
          <w:rFonts w:ascii="Verdana" w:hAnsi="Verdana"/>
          <w:sz w:val="22"/>
          <w:szCs w:val="22"/>
        </w:rPr>
        <w:t xml:space="preserve">ния </w:t>
      </w:r>
      <w:r w:rsidR="008B72E5" w:rsidRPr="0042519B">
        <w:rPr>
          <w:rFonts w:ascii="Verdana" w:hAnsi="Verdana"/>
          <w:sz w:val="22"/>
          <w:szCs w:val="22"/>
        </w:rPr>
        <w:t xml:space="preserve"> в целях </w:t>
      </w:r>
      <w:r w:rsidRPr="0042519B">
        <w:rPr>
          <w:rFonts w:ascii="Verdana" w:hAnsi="Verdana"/>
          <w:sz w:val="22"/>
          <w:szCs w:val="22"/>
        </w:rPr>
        <w:t xml:space="preserve">проверки и контроля </w:t>
      </w:r>
      <w:r w:rsidR="008B72E5" w:rsidRPr="0042519B">
        <w:rPr>
          <w:rFonts w:ascii="Verdana" w:hAnsi="Verdana"/>
          <w:sz w:val="22"/>
          <w:szCs w:val="22"/>
        </w:rPr>
        <w:t xml:space="preserve"> аудиторам при проведении обязательного аудита </w:t>
      </w:r>
      <w:r w:rsidRPr="0042519B">
        <w:rPr>
          <w:rFonts w:ascii="Verdana" w:hAnsi="Verdana"/>
          <w:sz w:val="22"/>
          <w:szCs w:val="22"/>
        </w:rPr>
        <w:t>Общества</w:t>
      </w:r>
      <w:r w:rsidR="008B72E5" w:rsidRPr="0042519B">
        <w:rPr>
          <w:rFonts w:ascii="Verdana" w:hAnsi="Verdana"/>
          <w:sz w:val="22"/>
          <w:szCs w:val="22"/>
        </w:rPr>
        <w:t>.</w:t>
      </w:r>
    </w:p>
    <w:p w:rsidR="008B72E5" w:rsidRPr="0042519B" w:rsidRDefault="00416624" w:rsidP="00725038">
      <w:pPr>
        <w:jc w:val="both"/>
        <w:rPr>
          <w:rFonts w:ascii="Verdana" w:hAnsi="Verdana"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>Методические указания</w:t>
      </w:r>
      <w:r w:rsidR="008B72E5" w:rsidRPr="0042519B">
        <w:rPr>
          <w:rFonts w:ascii="Verdana" w:hAnsi="Verdana"/>
          <w:sz w:val="22"/>
          <w:szCs w:val="22"/>
        </w:rPr>
        <w:t xml:space="preserve"> должны быть адаптирован</w:t>
      </w:r>
      <w:r w:rsidRPr="0042519B">
        <w:rPr>
          <w:rFonts w:ascii="Verdana" w:hAnsi="Verdana"/>
          <w:sz w:val="22"/>
          <w:szCs w:val="22"/>
        </w:rPr>
        <w:t>ы</w:t>
      </w:r>
      <w:r w:rsidR="001D22A7" w:rsidRPr="0042519B">
        <w:rPr>
          <w:rFonts w:ascii="Verdana" w:hAnsi="Verdana"/>
          <w:sz w:val="22"/>
          <w:szCs w:val="22"/>
        </w:rPr>
        <w:t xml:space="preserve"> </w:t>
      </w:r>
      <w:r w:rsidR="008B72E5" w:rsidRPr="0042519B">
        <w:rPr>
          <w:rFonts w:ascii="Verdana" w:hAnsi="Verdana"/>
          <w:sz w:val="22"/>
          <w:szCs w:val="22"/>
        </w:rPr>
        <w:t xml:space="preserve"> под требования бизнеса компании, план счетов и аналитические справочники, имеющиеся в компании.</w:t>
      </w:r>
    </w:p>
    <w:p w:rsidR="00725038" w:rsidRDefault="00725038" w:rsidP="00725038">
      <w:pPr>
        <w:pStyle w:val="1"/>
        <w:spacing w:before="0" w:after="0" w:line="240" w:lineRule="auto"/>
        <w:ind w:firstLine="0"/>
        <w:rPr>
          <w:rFonts w:ascii="Verdana" w:hAnsi="Verdana"/>
          <w:color w:val="auto"/>
          <w:sz w:val="22"/>
          <w:szCs w:val="22"/>
        </w:rPr>
      </w:pPr>
      <w:bookmarkStart w:id="2" w:name="_Toc386639168"/>
    </w:p>
    <w:p w:rsidR="008B72E5" w:rsidRPr="00725038" w:rsidRDefault="008B72E5" w:rsidP="00725038">
      <w:pPr>
        <w:pStyle w:val="1"/>
        <w:spacing w:before="0" w:after="0" w:line="240" w:lineRule="auto"/>
        <w:ind w:firstLine="0"/>
        <w:rPr>
          <w:rFonts w:ascii="Verdana" w:hAnsi="Verdana"/>
          <w:color w:val="auto"/>
          <w:sz w:val="22"/>
          <w:szCs w:val="22"/>
        </w:rPr>
      </w:pPr>
      <w:r w:rsidRPr="00725038">
        <w:rPr>
          <w:rFonts w:ascii="Verdana" w:hAnsi="Verdana"/>
          <w:color w:val="auto"/>
          <w:sz w:val="22"/>
          <w:szCs w:val="22"/>
        </w:rPr>
        <w:t>Общие сведения и описание работ</w:t>
      </w:r>
      <w:bookmarkEnd w:id="2"/>
    </w:p>
    <w:p w:rsidR="008B72E5" w:rsidRPr="0042519B" w:rsidRDefault="008B72E5" w:rsidP="00725038">
      <w:pPr>
        <w:jc w:val="both"/>
        <w:rPr>
          <w:rFonts w:ascii="Verdana" w:hAnsi="Verdana"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 xml:space="preserve">Заказчик и Исполнитель с учетом согласованных временных и ресурсных параметров определяют структуру </w:t>
      </w:r>
      <w:r w:rsidR="00FB1629" w:rsidRPr="0042519B">
        <w:rPr>
          <w:rFonts w:ascii="Verdana" w:hAnsi="Verdana"/>
          <w:sz w:val="22"/>
          <w:szCs w:val="22"/>
        </w:rPr>
        <w:t>Методических указаний</w:t>
      </w:r>
      <w:r w:rsidRPr="0042519B">
        <w:rPr>
          <w:rFonts w:ascii="Verdana" w:hAnsi="Verdana"/>
          <w:sz w:val="22"/>
          <w:szCs w:val="22"/>
        </w:rPr>
        <w:t xml:space="preserve">, период разработки, период согласования. Срок выполнения указанных работ предпочтительнее не более 14 </w:t>
      </w:r>
      <w:r w:rsidR="001079EB" w:rsidRPr="0042519B">
        <w:rPr>
          <w:rFonts w:ascii="Verdana" w:hAnsi="Verdana"/>
          <w:sz w:val="22"/>
          <w:szCs w:val="22"/>
        </w:rPr>
        <w:t xml:space="preserve">дней </w:t>
      </w:r>
      <w:r w:rsidRPr="0042519B">
        <w:rPr>
          <w:rFonts w:ascii="Verdana" w:hAnsi="Verdana"/>
          <w:sz w:val="22"/>
          <w:szCs w:val="22"/>
        </w:rPr>
        <w:t xml:space="preserve"> с момента подписания договора. </w:t>
      </w:r>
    </w:p>
    <w:p w:rsidR="00725038" w:rsidRDefault="00725038" w:rsidP="00725038">
      <w:pPr>
        <w:pStyle w:val="1"/>
        <w:spacing w:before="0" w:after="0" w:line="240" w:lineRule="auto"/>
        <w:ind w:firstLine="0"/>
        <w:rPr>
          <w:rFonts w:ascii="Verdana" w:hAnsi="Verdana"/>
          <w:color w:val="auto"/>
          <w:sz w:val="22"/>
          <w:szCs w:val="22"/>
        </w:rPr>
      </w:pPr>
      <w:bookmarkStart w:id="3" w:name="_Toc386639169"/>
    </w:p>
    <w:p w:rsidR="008B72E5" w:rsidRPr="00725038" w:rsidRDefault="008B72E5" w:rsidP="00725038">
      <w:pPr>
        <w:pStyle w:val="1"/>
        <w:spacing w:before="0" w:after="0" w:line="240" w:lineRule="auto"/>
        <w:ind w:firstLine="0"/>
        <w:rPr>
          <w:rFonts w:ascii="Verdana" w:hAnsi="Verdana"/>
          <w:color w:val="auto"/>
          <w:sz w:val="22"/>
          <w:szCs w:val="22"/>
        </w:rPr>
      </w:pPr>
      <w:r w:rsidRPr="00725038">
        <w:rPr>
          <w:rFonts w:ascii="Verdana" w:hAnsi="Verdana"/>
          <w:color w:val="auto"/>
          <w:sz w:val="22"/>
          <w:szCs w:val="22"/>
        </w:rPr>
        <w:t xml:space="preserve">Перечь   операций и вопросов подлежащих регламентации в </w:t>
      </w:r>
      <w:r w:rsidR="00416624" w:rsidRPr="00725038">
        <w:rPr>
          <w:rFonts w:ascii="Verdana" w:hAnsi="Verdana"/>
          <w:color w:val="auto"/>
          <w:sz w:val="22"/>
          <w:szCs w:val="22"/>
        </w:rPr>
        <w:t>Методических указаниях</w:t>
      </w:r>
      <w:r w:rsidRPr="00725038">
        <w:rPr>
          <w:rFonts w:ascii="Verdana" w:hAnsi="Verdana"/>
          <w:color w:val="auto"/>
          <w:sz w:val="22"/>
          <w:szCs w:val="22"/>
        </w:rPr>
        <w:t>:</w:t>
      </w:r>
      <w:bookmarkEnd w:id="3"/>
    </w:p>
    <w:p w:rsidR="008B72E5" w:rsidRPr="0042519B" w:rsidRDefault="008B72E5" w:rsidP="00725038">
      <w:pPr>
        <w:rPr>
          <w:rFonts w:ascii="Verdana" w:hAnsi="Verdana"/>
          <w:b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 xml:space="preserve">В </w:t>
      </w:r>
      <w:r w:rsidR="001079EB" w:rsidRPr="0042519B">
        <w:rPr>
          <w:rFonts w:ascii="Verdana" w:hAnsi="Verdana"/>
          <w:sz w:val="22"/>
          <w:szCs w:val="22"/>
        </w:rPr>
        <w:t xml:space="preserve">положениях </w:t>
      </w:r>
      <w:r w:rsidR="00416624" w:rsidRPr="0042519B">
        <w:rPr>
          <w:rFonts w:ascii="Verdana" w:hAnsi="Verdana"/>
          <w:sz w:val="22"/>
          <w:szCs w:val="22"/>
        </w:rPr>
        <w:t>Методических указаний</w:t>
      </w:r>
      <w:r w:rsidR="005B4036" w:rsidRPr="0042519B">
        <w:rPr>
          <w:rFonts w:ascii="Verdana" w:hAnsi="Verdana"/>
          <w:sz w:val="22"/>
          <w:szCs w:val="22"/>
        </w:rPr>
        <w:t xml:space="preserve"> должна быть раскрыта следующая информация</w:t>
      </w:r>
      <w:r w:rsidRPr="0042519B">
        <w:rPr>
          <w:rFonts w:ascii="Verdana" w:hAnsi="Verdana"/>
          <w:sz w:val="22"/>
          <w:szCs w:val="22"/>
        </w:rPr>
        <w:t xml:space="preserve">: </w:t>
      </w:r>
    </w:p>
    <w:p w:rsidR="008B72E5" w:rsidRPr="0042519B" w:rsidRDefault="008B72E5" w:rsidP="00725038">
      <w:pPr>
        <w:rPr>
          <w:rFonts w:ascii="Verdana" w:hAnsi="Verdana"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 xml:space="preserve">- подготовить </w:t>
      </w:r>
      <w:r w:rsidR="001079EB" w:rsidRPr="0042519B">
        <w:rPr>
          <w:rFonts w:ascii="Verdana" w:hAnsi="Verdana"/>
          <w:sz w:val="22"/>
          <w:szCs w:val="22"/>
        </w:rPr>
        <w:t xml:space="preserve">положения </w:t>
      </w:r>
      <w:r w:rsidR="00FB1629" w:rsidRPr="0042519B">
        <w:rPr>
          <w:rFonts w:ascii="Verdana" w:hAnsi="Verdana"/>
          <w:sz w:val="22"/>
          <w:szCs w:val="22"/>
        </w:rPr>
        <w:t>Методических указаний</w:t>
      </w:r>
      <w:r w:rsidR="001079EB" w:rsidRPr="0042519B">
        <w:rPr>
          <w:rFonts w:ascii="Verdana" w:hAnsi="Verdana"/>
          <w:sz w:val="22"/>
          <w:szCs w:val="22"/>
        </w:rPr>
        <w:t xml:space="preserve"> </w:t>
      </w:r>
      <w:r w:rsidRPr="0042519B">
        <w:rPr>
          <w:rFonts w:ascii="Verdana" w:hAnsi="Verdana"/>
          <w:sz w:val="22"/>
          <w:szCs w:val="22"/>
        </w:rPr>
        <w:t xml:space="preserve"> в соответствии с предварительной структурой указанной в приложении № </w:t>
      </w:r>
      <w:r w:rsidR="001079EB" w:rsidRPr="0042519B">
        <w:rPr>
          <w:rFonts w:ascii="Verdana" w:hAnsi="Verdana"/>
          <w:sz w:val="22"/>
          <w:szCs w:val="22"/>
        </w:rPr>
        <w:t xml:space="preserve">1 </w:t>
      </w:r>
      <w:r w:rsidRPr="0042519B">
        <w:rPr>
          <w:rFonts w:ascii="Verdana" w:hAnsi="Verdana"/>
          <w:sz w:val="22"/>
          <w:szCs w:val="22"/>
        </w:rPr>
        <w:t xml:space="preserve"> к настоящему заданию</w:t>
      </w:r>
      <w:r w:rsidR="00EB7628" w:rsidRPr="0042519B">
        <w:rPr>
          <w:rFonts w:ascii="Verdana" w:hAnsi="Verdana"/>
          <w:sz w:val="22"/>
          <w:szCs w:val="22"/>
        </w:rPr>
        <w:t xml:space="preserve"> Заказчика</w:t>
      </w:r>
      <w:r w:rsidRPr="0042519B">
        <w:rPr>
          <w:rFonts w:ascii="Verdana" w:hAnsi="Verdana"/>
          <w:sz w:val="22"/>
          <w:szCs w:val="22"/>
        </w:rPr>
        <w:t>.</w:t>
      </w:r>
    </w:p>
    <w:p w:rsidR="00725038" w:rsidRDefault="00725038" w:rsidP="00725038">
      <w:pPr>
        <w:pStyle w:val="1"/>
        <w:spacing w:before="0" w:after="0" w:line="240" w:lineRule="auto"/>
        <w:ind w:firstLine="0"/>
        <w:rPr>
          <w:rFonts w:ascii="Verdana" w:hAnsi="Verdana"/>
          <w:color w:val="auto"/>
          <w:sz w:val="22"/>
          <w:szCs w:val="22"/>
        </w:rPr>
      </w:pPr>
      <w:bookmarkStart w:id="4" w:name="_Toc386639170"/>
    </w:p>
    <w:p w:rsidR="008B72E5" w:rsidRDefault="008B72E5" w:rsidP="00725038">
      <w:pPr>
        <w:pStyle w:val="1"/>
        <w:spacing w:before="0" w:after="0" w:line="240" w:lineRule="auto"/>
        <w:ind w:firstLine="0"/>
        <w:rPr>
          <w:rFonts w:ascii="Verdana" w:hAnsi="Verdana"/>
          <w:color w:val="auto"/>
          <w:sz w:val="22"/>
          <w:szCs w:val="22"/>
        </w:rPr>
      </w:pPr>
      <w:r w:rsidRPr="00725038">
        <w:rPr>
          <w:rFonts w:ascii="Verdana" w:hAnsi="Verdana"/>
          <w:color w:val="auto"/>
          <w:sz w:val="22"/>
          <w:szCs w:val="22"/>
        </w:rPr>
        <w:t>Требования к Исполнителю</w:t>
      </w:r>
      <w:bookmarkEnd w:id="4"/>
      <w:r w:rsidR="005E2E5E">
        <w:rPr>
          <w:rFonts w:ascii="Verdana" w:hAnsi="Verdana"/>
          <w:color w:val="auto"/>
          <w:sz w:val="22"/>
          <w:szCs w:val="22"/>
        </w:rPr>
        <w:t>:</w:t>
      </w:r>
    </w:p>
    <w:p w:rsidR="008B72E5" w:rsidRPr="005E2E5E" w:rsidRDefault="008B72E5" w:rsidP="005E2E5E">
      <w:pPr>
        <w:pStyle w:val="a9"/>
        <w:numPr>
          <w:ilvl w:val="0"/>
          <w:numId w:val="13"/>
        </w:numPr>
        <w:jc w:val="both"/>
        <w:rPr>
          <w:rFonts w:ascii="Verdana" w:hAnsi="Verdana"/>
          <w:sz w:val="22"/>
          <w:szCs w:val="22"/>
        </w:rPr>
      </w:pPr>
      <w:r w:rsidRPr="005E2E5E">
        <w:rPr>
          <w:rFonts w:ascii="Verdana" w:hAnsi="Verdana"/>
          <w:sz w:val="22"/>
          <w:szCs w:val="22"/>
        </w:rPr>
        <w:t xml:space="preserve">При проведении работ Исполнитель должен руководствоваться </w:t>
      </w:r>
      <w:r w:rsidR="00416405" w:rsidRPr="005E2E5E">
        <w:rPr>
          <w:rFonts w:ascii="Verdana" w:hAnsi="Verdana"/>
          <w:sz w:val="22"/>
          <w:szCs w:val="22"/>
        </w:rPr>
        <w:t>Международными  Стандартами Финансовой Отчетности</w:t>
      </w:r>
      <w:r w:rsidRPr="005E2E5E">
        <w:rPr>
          <w:rFonts w:ascii="Verdana" w:hAnsi="Verdana"/>
          <w:sz w:val="22"/>
          <w:szCs w:val="22"/>
        </w:rPr>
        <w:t xml:space="preserve">, используемыми как источники критериев и норм для </w:t>
      </w:r>
      <w:r w:rsidR="00416405" w:rsidRPr="005E2E5E">
        <w:rPr>
          <w:rFonts w:ascii="Verdana" w:hAnsi="Verdana"/>
          <w:sz w:val="22"/>
          <w:szCs w:val="22"/>
        </w:rPr>
        <w:t>порядка  признания, оценки, учета и отражения в отчетности активов Общества</w:t>
      </w:r>
      <w:r w:rsidRPr="005E2E5E">
        <w:rPr>
          <w:rFonts w:ascii="Verdana" w:hAnsi="Verdana"/>
          <w:sz w:val="22"/>
          <w:szCs w:val="22"/>
        </w:rPr>
        <w:t>. Кроме того</w:t>
      </w:r>
      <w:r w:rsidR="0005422B" w:rsidRPr="005E2E5E">
        <w:rPr>
          <w:rFonts w:ascii="Verdana" w:hAnsi="Verdana"/>
          <w:sz w:val="22"/>
          <w:szCs w:val="22"/>
        </w:rPr>
        <w:t>,</w:t>
      </w:r>
      <w:r w:rsidRPr="005E2E5E">
        <w:rPr>
          <w:rFonts w:ascii="Verdana" w:hAnsi="Verdana"/>
          <w:sz w:val="22"/>
          <w:szCs w:val="22"/>
        </w:rPr>
        <w:t xml:space="preserve"> разработанные </w:t>
      </w:r>
      <w:r w:rsidR="0005422B" w:rsidRPr="005E2E5E">
        <w:rPr>
          <w:rFonts w:ascii="Verdana" w:hAnsi="Verdana"/>
          <w:sz w:val="22"/>
          <w:szCs w:val="22"/>
        </w:rPr>
        <w:t xml:space="preserve">положения </w:t>
      </w:r>
      <w:r w:rsidR="00BE1B4C" w:rsidRPr="005E2E5E">
        <w:rPr>
          <w:rFonts w:ascii="Verdana" w:hAnsi="Verdana"/>
          <w:sz w:val="22"/>
          <w:szCs w:val="22"/>
        </w:rPr>
        <w:t>Методических указаний</w:t>
      </w:r>
      <w:r w:rsidR="0005422B" w:rsidRPr="005E2E5E">
        <w:rPr>
          <w:rFonts w:ascii="Verdana" w:hAnsi="Verdana"/>
          <w:sz w:val="22"/>
          <w:szCs w:val="22"/>
        </w:rPr>
        <w:t xml:space="preserve"> не </w:t>
      </w:r>
      <w:r w:rsidRPr="005E2E5E">
        <w:rPr>
          <w:rFonts w:ascii="Verdana" w:hAnsi="Verdana"/>
          <w:sz w:val="22"/>
          <w:szCs w:val="22"/>
        </w:rPr>
        <w:t xml:space="preserve">должны противоречить внутренним локальным нормативным актам Общества. </w:t>
      </w:r>
    </w:p>
    <w:p w:rsidR="008B72E5" w:rsidRPr="005E2E5E" w:rsidRDefault="008B72E5" w:rsidP="005E2E5E">
      <w:pPr>
        <w:pStyle w:val="a9"/>
        <w:numPr>
          <w:ilvl w:val="0"/>
          <w:numId w:val="13"/>
        </w:numPr>
        <w:jc w:val="both"/>
        <w:rPr>
          <w:rFonts w:ascii="Verdana" w:hAnsi="Verdana"/>
          <w:sz w:val="22"/>
          <w:szCs w:val="22"/>
        </w:rPr>
      </w:pPr>
      <w:r w:rsidRPr="005E2E5E">
        <w:rPr>
          <w:rFonts w:ascii="Verdana" w:hAnsi="Verdana"/>
          <w:sz w:val="22"/>
          <w:szCs w:val="22"/>
        </w:rPr>
        <w:t xml:space="preserve">Исполнитель должен иметь опыт написания и разработки  подобных внутренних </w:t>
      </w:r>
      <w:r w:rsidR="0005422B" w:rsidRPr="005E2E5E">
        <w:rPr>
          <w:rFonts w:ascii="Verdana" w:hAnsi="Verdana"/>
          <w:sz w:val="22"/>
          <w:szCs w:val="22"/>
        </w:rPr>
        <w:t>нормативных документов</w:t>
      </w:r>
      <w:r w:rsidRPr="005E2E5E">
        <w:rPr>
          <w:rFonts w:ascii="Verdana" w:hAnsi="Verdana"/>
          <w:sz w:val="22"/>
          <w:szCs w:val="22"/>
        </w:rPr>
        <w:t xml:space="preserve">  для крупных энергетических компаний Российской Федерации. </w:t>
      </w:r>
      <w:r w:rsidR="005E2E5E">
        <w:rPr>
          <w:rFonts w:ascii="Verdana" w:hAnsi="Verdana"/>
          <w:sz w:val="22"/>
          <w:szCs w:val="22"/>
        </w:rPr>
        <w:t>Желательно</w:t>
      </w:r>
      <w:bookmarkStart w:id="5" w:name="_GoBack"/>
      <w:bookmarkEnd w:id="5"/>
      <w:r w:rsidR="005E2E5E">
        <w:rPr>
          <w:rFonts w:ascii="Verdana" w:hAnsi="Verdana"/>
          <w:sz w:val="22"/>
          <w:szCs w:val="22"/>
        </w:rPr>
        <w:t xml:space="preserve"> наличие референций.</w:t>
      </w:r>
    </w:p>
    <w:p w:rsidR="008B72E5" w:rsidRPr="00725038" w:rsidRDefault="008B72E5" w:rsidP="00725038">
      <w:pPr>
        <w:pStyle w:val="1"/>
        <w:spacing w:before="0" w:after="0" w:line="240" w:lineRule="auto"/>
        <w:ind w:firstLine="0"/>
        <w:rPr>
          <w:rFonts w:ascii="Verdana" w:hAnsi="Verdana"/>
          <w:color w:val="auto"/>
          <w:sz w:val="22"/>
          <w:szCs w:val="22"/>
        </w:rPr>
      </w:pPr>
      <w:bookmarkStart w:id="6" w:name="_Toc386639171"/>
      <w:r w:rsidRPr="00725038">
        <w:rPr>
          <w:rFonts w:ascii="Verdana" w:hAnsi="Verdana"/>
          <w:color w:val="auto"/>
          <w:sz w:val="22"/>
          <w:szCs w:val="22"/>
        </w:rPr>
        <w:t xml:space="preserve">Результаты разработки </w:t>
      </w:r>
      <w:bookmarkEnd w:id="6"/>
      <w:r w:rsidR="00416624" w:rsidRPr="00725038">
        <w:rPr>
          <w:rFonts w:ascii="Verdana" w:hAnsi="Verdana"/>
          <w:color w:val="auto"/>
          <w:sz w:val="22"/>
          <w:szCs w:val="22"/>
        </w:rPr>
        <w:t>Методических указаний</w:t>
      </w:r>
    </w:p>
    <w:p w:rsidR="008B72E5" w:rsidRPr="0042519B" w:rsidRDefault="008B72E5" w:rsidP="00725038">
      <w:pPr>
        <w:jc w:val="both"/>
        <w:rPr>
          <w:rFonts w:ascii="Verdana" w:hAnsi="Verdana"/>
          <w:sz w:val="22"/>
          <w:szCs w:val="22"/>
        </w:rPr>
      </w:pPr>
      <w:r w:rsidRPr="0042519B">
        <w:rPr>
          <w:rFonts w:ascii="Verdana" w:hAnsi="Verdana"/>
          <w:sz w:val="22"/>
          <w:szCs w:val="22"/>
        </w:rPr>
        <w:t xml:space="preserve">Результатом разработки </w:t>
      </w:r>
      <w:r w:rsidR="00BE1B4C" w:rsidRPr="0042519B">
        <w:rPr>
          <w:rFonts w:ascii="Verdana" w:hAnsi="Verdana"/>
          <w:sz w:val="22"/>
          <w:szCs w:val="22"/>
        </w:rPr>
        <w:t xml:space="preserve">Методических указаний по учету активов ОАО «Э.ОН Россия» </w:t>
      </w:r>
      <w:r w:rsidR="00416405" w:rsidRPr="0042519B">
        <w:rPr>
          <w:rFonts w:ascii="Verdana" w:hAnsi="Verdana"/>
          <w:sz w:val="22"/>
          <w:szCs w:val="22"/>
        </w:rPr>
        <w:t xml:space="preserve">для целей МСФО </w:t>
      </w:r>
      <w:r w:rsidRPr="0042519B" w:rsidDel="0017090F">
        <w:rPr>
          <w:rFonts w:ascii="Verdana" w:hAnsi="Verdana"/>
          <w:sz w:val="22"/>
          <w:szCs w:val="22"/>
        </w:rPr>
        <w:t xml:space="preserve"> </w:t>
      </w:r>
      <w:r w:rsidRPr="0042519B">
        <w:rPr>
          <w:rFonts w:ascii="Verdana" w:hAnsi="Verdana"/>
          <w:sz w:val="22"/>
          <w:szCs w:val="22"/>
        </w:rPr>
        <w:t>является печатный документ, оформленный должным образом  и его электронная копия.</w:t>
      </w:r>
    </w:p>
    <w:p w:rsidR="008B72E5" w:rsidRPr="0042519B" w:rsidRDefault="008B72E5" w:rsidP="00725038">
      <w:pPr>
        <w:rPr>
          <w:rFonts w:ascii="Verdana" w:hAnsi="Verdana"/>
          <w:sz w:val="22"/>
          <w:szCs w:val="22"/>
        </w:rPr>
      </w:pPr>
    </w:p>
    <w:p w:rsidR="008B72E5" w:rsidRPr="0042519B" w:rsidRDefault="008B72E5" w:rsidP="00725038">
      <w:pPr>
        <w:jc w:val="center"/>
        <w:rPr>
          <w:rFonts w:ascii="Verdana" w:hAnsi="Verdana" w:cs="Arial"/>
          <w:b/>
          <w:sz w:val="22"/>
          <w:szCs w:val="22"/>
        </w:rPr>
      </w:pPr>
    </w:p>
    <w:p w:rsidR="002A2092" w:rsidRPr="0042519B" w:rsidRDefault="002A2092" w:rsidP="00725038">
      <w:pPr>
        <w:jc w:val="right"/>
        <w:rPr>
          <w:rFonts w:ascii="Verdana" w:hAnsi="Verdana" w:cs="Arial"/>
          <w:sz w:val="22"/>
          <w:szCs w:val="22"/>
        </w:rPr>
      </w:pPr>
    </w:p>
    <w:p w:rsidR="008B72E5" w:rsidRPr="0042519B" w:rsidRDefault="00D72886" w:rsidP="00725038">
      <w:pPr>
        <w:jc w:val="right"/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lastRenderedPageBreak/>
        <w:t xml:space="preserve">Приложение №1 к заданию </w:t>
      </w:r>
      <w:r w:rsidR="00EB7628" w:rsidRPr="0042519B">
        <w:rPr>
          <w:rFonts w:ascii="Verdana" w:hAnsi="Verdana" w:cs="Arial"/>
          <w:sz w:val="22"/>
          <w:szCs w:val="22"/>
        </w:rPr>
        <w:t>Заказчика</w:t>
      </w:r>
    </w:p>
    <w:p w:rsidR="0042519B" w:rsidRDefault="0042519B" w:rsidP="00725038">
      <w:pPr>
        <w:jc w:val="center"/>
        <w:rPr>
          <w:rFonts w:ascii="Verdana" w:hAnsi="Verdana" w:cs="Arial"/>
          <w:b/>
          <w:sz w:val="22"/>
          <w:szCs w:val="22"/>
        </w:rPr>
      </w:pPr>
    </w:p>
    <w:p w:rsidR="008B72E5" w:rsidRPr="0042519B" w:rsidRDefault="00F901BF" w:rsidP="00725038">
      <w:pPr>
        <w:jc w:val="center"/>
        <w:rPr>
          <w:rFonts w:ascii="Verdana" w:hAnsi="Verdana" w:cs="Arial"/>
          <w:b/>
          <w:sz w:val="22"/>
          <w:szCs w:val="22"/>
        </w:rPr>
      </w:pPr>
      <w:r w:rsidRPr="0042519B">
        <w:rPr>
          <w:rFonts w:ascii="Verdana" w:hAnsi="Verdana" w:cs="Arial"/>
          <w:b/>
          <w:sz w:val="22"/>
          <w:szCs w:val="22"/>
        </w:rPr>
        <w:t>Структура</w:t>
      </w:r>
      <w:r w:rsidR="008B72E5" w:rsidRPr="0042519B">
        <w:rPr>
          <w:rFonts w:ascii="Verdana" w:hAnsi="Verdana" w:cs="Arial"/>
          <w:b/>
          <w:sz w:val="22"/>
          <w:szCs w:val="22"/>
        </w:rPr>
        <w:t xml:space="preserve"> (содержание)</w:t>
      </w:r>
    </w:p>
    <w:p w:rsidR="008B72E5" w:rsidRPr="0042519B" w:rsidRDefault="008B72E5" w:rsidP="00725038">
      <w:pPr>
        <w:jc w:val="center"/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b/>
          <w:sz w:val="22"/>
          <w:szCs w:val="22"/>
        </w:rPr>
        <w:t>«</w:t>
      </w:r>
      <w:r w:rsidR="004423AB" w:rsidRPr="0042519B">
        <w:rPr>
          <w:rFonts w:ascii="Verdana" w:hAnsi="Verdana" w:cs="Arial"/>
          <w:b/>
          <w:sz w:val="22"/>
          <w:szCs w:val="22"/>
        </w:rPr>
        <w:t>Методических указаний по учету активов Общества</w:t>
      </w:r>
      <w:r w:rsidR="0005422B" w:rsidRPr="0042519B">
        <w:rPr>
          <w:rFonts w:ascii="Verdana" w:hAnsi="Verdana" w:cs="Arial"/>
          <w:b/>
          <w:sz w:val="22"/>
          <w:szCs w:val="22"/>
        </w:rPr>
        <w:t xml:space="preserve"> для целей МСФО</w:t>
      </w:r>
      <w:r w:rsidRPr="0042519B">
        <w:rPr>
          <w:rFonts w:ascii="Verdana" w:hAnsi="Verdana" w:cs="Arial"/>
          <w:b/>
          <w:sz w:val="22"/>
          <w:szCs w:val="22"/>
        </w:rPr>
        <w:t>»</w:t>
      </w:r>
    </w:p>
    <w:p w:rsidR="008B72E5" w:rsidRPr="0042519B" w:rsidRDefault="008B72E5" w:rsidP="00725038">
      <w:pPr>
        <w:rPr>
          <w:rFonts w:ascii="Verdana" w:hAnsi="Verdana" w:cs="Arial"/>
          <w:b/>
          <w:sz w:val="22"/>
          <w:szCs w:val="22"/>
        </w:rPr>
      </w:pPr>
    </w:p>
    <w:p w:rsidR="008B72E5" w:rsidRPr="0042519B" w:rsidRDefault="008B72E5" w:rsidP="00725038">
      <w:pPr>
        <w:tabs>
          <w:tab w:val="num" w:pos="1080"/>
        </w:tabs>
        <w:rPr>
          <w:rFonts w:ascii="Verdana" w:hAnsi="Verdana" w:cs="Arial"/>
          <w:b/>
          <w:sz w:val="22"/>
          <w:szCs w:val="22"/>
        </w:rPr>
      </w:pPr>
      <w:r w:rsidRPr="0042519B">
        <w:rPr>
          <w:rFonts w:ascii="Verdana" w:hAnsi="Verdana" w:cs="Arial"/>
          <w:b/>
          <w:sz w:val="22"/>
          <w:szCs w:val="22"/>
        </w:rPr>
        <w:t xml:space="preserve">Раздел </w:t>
      </w:r>
      <w:r w:rsidR="004423AB" w:rsidRPr="0042519B">
        <w:rPr>
          <w:rFonts w:ascii="Verdana" w:hAnsi="Verdana" w:cs="Arial"/>
          <w:b/>
          <w:sz w:val="22"/>
          <w:szCs w:val="22"/>
        </w:rPr>
        <w:t>1</w:t>
      </w:r>
      <w:r w:rsidRPr="0042519B">
        <w:rPr>
          <w:rFonts w:ascii="Verdana" w:hAnsi="Verdana" w:cs="Arial"/>
          <w:b/>
          <w:sz w:val="22"/>
          <w:szCs w:val="22"/>
        </w:rPr>
        <w:t xml:space="preserve">. </w:t>
      </w:r>
      <w:r w:rsidR="0005422B" w:rsidRPr="0042519B">
        <w:rPr>
          <w:rFonts w:ascii="Verdana" w:hAnsi="Verdana" w:cs="Arial"/>
          <w:b/>
          <w:sz w:val="22"/>
          <w:szCs w:val="22"/>
        </w:rPr>
        <w:t>Активы Общества</w:t>
      </w:r>
    </w:p>
    <w:p w:rsidR="008B72E5" w:rsidRPr="0042519B" w:rsidRDefault="0005422B" w:rsidP="00725038">
      <w:pPr>
        <w:pStyle w:val="a9"/>
        <w:numPr>
          <w:ilvl w:val="1"/>
          <w:numId w:val="11"/>
        </w:numPr>
        <w:tabs>
          <w:tab w:val="num" w:pos="1283"/>
        </w:tabs>
        <w:ind w:left="993" w:hanging="426"/>
        <w:rPr>
          <w:rFonts w:ascii="Verdana" w:hAnsi="Verdana" w:cs="Arial"/>
          <w:i/>
          <w:sz w:val="22"/>
          <w:szCs w:val="22"/>
        </w:rPr>
      </w:pPr>
      <w:r w:rsidRPr="0042519B">
        <w:rPr>
          <w:rFonts w:ascii="Verdana" w:hAnsi="Verdana" w:cs="Arial"/>
          <w:i/>
          <w:sz w:val="22"/>
          <w:szCs w:val="22"/>
        </w:rPr>
        <w:t>Основные средства</w:t>
      </w:r>
    </w:p>
    <w:p w:rsidR="0005422B" w:rsidRPr="0042519B" w:rsidRDefault="0005422B" w:rsidP="00725038">
      <w:pPr>
        <w:pStyle w:val="a9"/>
        <w:numPr>
          <w:ilvl w:val="2"/>
          <w:numId w:val="11"/>
        </w:numPr>
        <w:ind w:left="2835" w:hanging="1134"/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Критерии признания</w:t>
      </w:r>
    </w:p>
    <w:p w:rsidR="00B534E1" w:rsidRPr="0042519B" w:rsidRDefault="00B534E1" w:rsidP="00725038">
      <w:pPr>
        <w:pStyle w:val="a9"/>
        <w:numPr>
          <w:ilvl w:val="2"/>
          <w:numId w:val="11"/>
        </w:numPr>
        <w:ind w:left="2835" w:hanging="1134"/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 xml:space="preserve">Оценка </w:t>
      </w:r>
      <w:r w:rsidR="004423AB" w:rsidRPr="0042519B">
        <w:rPr>
          <w:rFonts w:ascii="Verdana" w:hAnsi="Verdana" w:cs="Arial"/>
          <w:sz w:val="22"/>
          <w:szCs w:val="22"/>
        </w:rPr>
        <w:t>при признании</w:t>
      </w:r>
    </w:p>
    <w:p w:rsidR="0005422B" w:rsidRPr="0042519B" w:rsidRDefault="00B534E1" w:rsidP="00725038">
      <w:pPr>
        <w:pStyle w:val="a9"/>
        <w:numPr>
          <w:ilvl w:val="2"/>
          <w:numId w:val="11"/>
        </w:numPr>
        <w:ind w:left="2835" w:hanging="1134"/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Последующие  расходы</w:t>
      </w:r>
    </w:p>
    <w:p w:rsidR="00D82B6B" w:rsidRPr="0042519B" w:rsidRDefault="00D82B6B" w:rsidP="00725038">
      <w:pPr>
        <w:pStyle w:val="a9"/>
        <w:ind w:left="2410"/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 xml:space="preserve">1.1.3.1. Расходы на капитальные </w:t>
      </w:r>
      <w:r w:rsidR="00F901BF" w:rsidRPr="0042519B">
        <w:rPr>
          <w:rFonts w:ascii="Verdana" w:hAnsi="Verdana" w:cs="Arial"/>
          <w:sz w:val="22"/>
          <w:szCs w:val="22"/>
        </w:rPr>
        <w:t xml:space="preserve"> и средние </w:t>
      </w:r>
      <w:r w:rsidRPr="0042519B">
        <w:rPr>
          <w:rFonts w:ascii="Verdana" w:hAnsi="Verdana" w:cs="Arial"/>
          <w:sz w:val="22"/>
          <w:szCs w:val="22"/>
        </w:rPr>
        <w:t>ремонты</w:t>
      </w:r>
    </w:p>
    <w:p w:rsidR="00D82B6B" w:rsidRPr="0042519B" w:rsidRDefault="00D82B6B" w:rsidP="00725038">
      <w:pPr>
        <w:pStyle w:val="a9"/>
        <w:ind w:left="2410"/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1.1.3.2. Расходы на технические инспекции</w:t>
      </w:r>
    </w:p>
    <w:p w:rsidR="00D82B6B" w:rsidRPr="0042519B" w:rsidRDefault="00D82B6B" w:rsidP="00725038">
      <w:pPr>
        <w:pStyle w:val="a9"/>
        <w:ind w:left="2410"/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1.1.3.3. Расходы на запчасти</w:t>
      </w:r>
    </w:p>
    <w:p w:rsidR="00F901BF" w:rsidRPr="0042519B" w:rsidRDefault="00B534E1" w:rsidP="00725038">
      <w:pPr>
        <w:pStyle w:val="a9"/>
        <w:numPr>
          <w:ilvl w:val="2"/>
          <w:numId w:val="11"/>
        </w:numPr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 xml:space="preserve">Амортизация </w:t>
      </w:r>
    </w:p>
    <w:p w:rsidR="00B534E1" w:rsidRPr="0042519B" w:rsidRDefault="00F901BF" w:rsidP="00725038">
      <w:pPr>
        <w:pStyle w:val="a9"/>
        <w:numPr>
          <w:ilvl w:val="3"/>
          <w:numId w:val="11"/>
        </w:numPr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 xml:space="preserve">Амортизация </w:t>
      </w:r>
      <w:r w:rsidR="00B534E1" w:rsidRPr="0042519B">
        <w:rPr>
          <w:rFonts w:ascii="Verdana" w:hAnsi="Verdana" w:cs="Arial"/>
          <w:sz w:val="22"/>
          <w:szCs w:val="22"/>
        </w:rPr>
        <w:t>основных средств</w:t>
      </w:r>
    </w:p>
    <w:p w:rsidR="00F901BF" w:rsidRPr="0042519B" w:rsidRDefault="00F901BF" w:rsidP="00725038">
      <w:pPr>
        <w:pStyle w:val="a9"/>
        <w:numPr>
          <w:ilvl w:val="3"/>
          <w:numId w:val="11"/>
        </w:numPr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Амортизация запасных частей</w:t>
      </w:r>
    </w:p>
    <w:p w:rsidR="00F901BF" w:rsidRPr="0042519B" w:rsidRDefault="00F901BF" w:rsidP="00725038">
      <w:pPr>
        <w:pStyle w:val="a9"/>
        <w:numPr>
          <w:ilvl w:val="3"/>
          <w:numId w:val="11"/>
        </w:numPr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Амортизация капитальных и средних ремонтов</w:t>
      </w:r>
    </w:p>
    <w:p w:rsidR="00B534E1" w:rsidRPr="0042519B" w:rsidRDefault="00B534E1" w:rsidP="00725038">
      <w:pPr>
        <w:pStyle w:val="a9"/>
        <w:numPr>
          <w:ilvl w:val="2"/>
          <w:numId w:val="11"/>
        </w:numPr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Прекращение признания</w:t>
      </w:r>
    </w:p>
    <w:p w:rsidR="00F901BF" w:rsidRPr="0042519B" w:rsidRDefault="00F901BF" w:rsidP="00725038">
      <w:pPr>
        <w:pStyle w:val="a9"/>
        <w:numPr>
          <w:ilvl w:val="3"/>
          <w:numId w:val="11"/>
        </w:numPr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Основных средств</w:t>
      </w:r>
    </w:p>
    <w:p w:rsidR="00F901BF" w:rsidRPr="0042519B" w:rsidRDefault="00F901BF" w:rsidP="00725038">
      <w:pPr>
        <w:pStyle w:val="a9"/>
        <w:numPr>
          <w:ilvl w:val="3"/>
          <w:numId w:val="11"/>
        </w:numPr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Запасных частей</w:t>
      </w:r>
    </w:p>
    <w:p w:rsidR="00F901BF" w:rsidRPr="0042519B" w:rsidRDefault="002A2092" w:rsidP="00725038">
      <w:pPr>
        <w:pStyle w:val="a9"/>
        <w:numPr>
          <w:ilvl w:val="3"/>
          <w:numId w:val="11"/>
        </w:numPr>
        <w:rPr>
          <w:rFonts w:ascii="Verdana" w:hAnsi="Verdana" w:cs="Arial"/>
          <w:sz w:val="22"/>
          <w:szCs w:val="22"/>
        </w:rPr>
      </w:pPr>
      <w:r w:rsidRPr="0042519B">
        <w:rPr>
          <w:rFonts w:ascii="Verdana" w:hAnsi="Verdana" w:cs="Arial"/>
          <w:sz w:val="22"/>
          <w:szCs w:val="22"/>
        </w:rPr>
        <w:t>Капитальных и средних ре</w:t>
      </w:r>
      <w:r w:rsidR="00F901BF" w:rsidRPr="0042519B">
        <w:rPr>
          <w:rFonts w:ascii="Verdana" w:hAnsi="Verdana" w:cs="Arial"/>
          <w:sz w:val="22"/>
          <w:szCs w:val="22"/>
        </w:rPr>
        <w:t>м</w:t>
      </w:r>
      <w:r w:rsidRPr="0042519B">
        <w:rPr>
          <w:rFonts w:ascii="Verdana" w:hAnsi="Verdana" w:cs="Arial"/>
          <w:sz w:val="22"/>
          <w:szCs w:val="22"/>
        </w:rPr>
        <w:t>о</w:t>
      </w:r>
      <w:r w:rsidR="00F901BF" w:rsidRPr="0042519B">
        <w:rPr>
          <w:rFonts w:ascii="Verdana" w:hAnsi="Verdana" w:cs="Arial"/>
          <w:sz w:val="22"/>
          <w:szCs w:val="22"/>
        </w:rPr>
        <w:t>нтов</w:t>
      </w:r>
    </w:p>
    <w:p w:rsidR="00E356F8" w:rsidRPr="0042519B" w:rsidRDefault="0005422B" w:rsidP="00725038">
      <w:pPr>
        <w:rPr>
          <w:rFonts w:ascii="Verdana" w:hAnsi="Verdana" w:cs="Arial"/>
          <w:b/>
          <w:sz w:val="22"/>
          <w:szCs w:val="22"/>
        </w:rPr>
      </w:pPr>
      <w:r w:rsidRPr="0042519B">
        <w:rPr>
          <w:rFonts w:ascii="Verdana" w:hAnsi="Verdana" w:cs="Arial"/>
          <w:b/>
          <w:sz w:val="22"/>
          <w:szCs w:val="22"/>
        </w:rPr>
        <w:t xml:space="preserve">Раздел </w:t>
      </w:r>
      <w:r w:rsidR="00D82B6B" w:rsidRPr="0042519B">
        <w:rPr>
          <w:rFonts w:ascii="Verdana" w:hAnsi="Verdana" w:cs="Arial"/>
          <w:b/>
          <w:sz w:val="22"/>
          <w:szCs w:val="22"/>
        </w:rPr>
        <w:t>2</w:t>
      </w:r>
      <w:r w:rsidRPr="0042519B">
        <w:rPr>
          <w:rFonts w:ascii="Verdana" w:hAnsi="Verdana" w:cs="Arial"/>
          <w:b/>
          <w:sz w:val="22"/>
          <w:szCs w:val="22"/>
        </w:rPr>
        <w:t>. Изменения в бухгалтерских оценках  Общества</w:t>
      </w:r>
    </w:p>
    <w:p w:rsidR="0005422B" w:rsidRPr="0042519B" w:rsidRDefault="0005422B" w:rsidP="00725038">
      <w:pPr>
        <w:rPr>
          <w:rFonts w:ascii="Verdana" w:hAnsi="Verdana" w:cs="Arial"/>
          <w:b/>
          <w:sz w:val="22"/>
          <w:szCs w:val="22"/>
        </w:rPr>
      </w:pPr>
      <w:r w:rsidRPr="0042519B">
        <w:rPr>
          <w:rFonts w:ascii="Verdana" w:hAnsi="Verdana" w:cs="Arial"/>
          <w:b/>
          <w:sz w:val="22"/>
          <w:szCs w:val="22"/>
        </w:rPr>
        <w:t xml:space="preserve">Раздел </w:t>
      </w:r>
      <w:r w:rsidR="00D82B6B" w:rsidRPr="0042519B">
        <w:rPr>
          <w:rFonts w:ascii="Verdana" w:hAnsi="Verdana" w:cs="Arial"/>
          <w:b/>
          <w:sz w:val="22"/>
          <w:szCs w:val="22"/>
        </w:rPr>
        <w:t>3</w:t>
      </w:r>
      <w:r w:rsidRPr="0042519B">
        <w:rPr>
          <w:rFonts w:ascii="Verdana" w:hAnsi="Verdana" w:cs="Arial"/>
          <w:b/>
          <w:sz w:val="22"/>
          <w:szCs w:val="22"/>
        </w:rPr>
        <w:t>. Ошибки</w:t>
      </w:r>
    </w:p>
    <w:p w:rsidR="0005422B" w:rsidRPr="0042519B" w:rsidRDefault="0005422B" w:rsidP="00725038">
      <w:pPr>
        <w:rPr>
          <w:rFonts w:ascii="Verdana" w:hAnsi="Verdana" w:cs="Arial"/>
          <w:b/>
          <w:sz w:val="22"/>
          <w:szCs w:val="22"/>
        </w:rPr>
      </w:pPr>
      <w:r w:rsidRPr="0042519B">
        <w:rPr>
          <w:rFonts w:ascii="Verdana" w:hAnsi="Verdana" w:cs="Arial"/>
          <w:b/>
          <w:sz w:val="22"/>
          <w:szCs w:val="22"/>
        </w:rPr>
        <w:t xml:space="preserve">Раздел </w:t>
      </w:r>
      <w:r w:rsidR="00D82B6B" w:rsidRPr="0042519B">
        <w:rPr>
          <w:rFonts w:ascii="Verdana" w:hAnsi="Verdana" w:cs="Arial"/>
          <w:b/>
          <w:sz w:val="22"/>
          <w:szCs w:val="22"/>
        </w:rPr>
        <w:t>4</w:t>
      </w:r>
      <w:r w:rsidRPr="0042519B">
        <w:rPr>
          <w:rFonts w:ascii="Verdana" w:hAnsi="Verdana" w:cs="Arial"/>
          <w:b/>
          <w:sz w:val="22"/>
          <w:szCs w:val="22"/>
        </w:rPr>
        <w:t>. Порядок  раскрытия информации в финансовой отчетности</w:t>
      </w:r>
    </w:p>
    <w:p w:rsidR="0005422B" w:rsidRPr="0042519B" w:rsidRDefault="0005422B" w:rsidP="00725038">
      <w:pPr>
        <w:rPr>
          <w:rFonts w:ascii="Verdana" w:hAnsi="Verdana" w:cs="Arial"/>
          <w:b/>
          <w:sz w:val="22"/>
          <w:szCs w:val="22"/>
        </w:rPr>
      </w:pPr>
    </w:p>
    <w:p w:rsidR="0005422B" w:rsidRPr="0042519B" w:rsidRDefault="0005422B" w:rsidP="00725038">
      <w:pPr>
        <w:rPr>
          <w:rFonts w:ascii="Verdana" w:hAnsi="Verdana" w:cs="Arial"/>
          <w:b/>
          <w:sz w:val="22"/>
          <w:szCs w:val="22"/>
        </w:rPr>
      </w:pPr>
    </w:p>
    <w:sectPr w:rsidR="0005422B" w:rsidRPr="0042519B" w:rsidSect="00D5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7F6"/>
    <w:multiLevelType w:val="hybridMultilevel"/>
    <w:tmpl w:val="6E1479AC"/>
    <w:lvl w:ilvl="0" w:tplc="FFFFFFFF">
      <w:start w:val="1"/>
      <w:numFmt w:val="bullet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650"/>
    <w:multiLevelType w:val="multilevel"/>
    <w:tmpl w:val="945E611C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hint="default"/>
      </w:rPr>
    </w:lvl>
  </w:abstractNum>
  <w:abstractNum w:abstractNumId="2">
    <w:nsid w:val="18732C95"/>
    <w:multiLevelType w:val="hybridMultilevel"/>
    <w:tmpl w:val="4782C35E"/>
    <w:lvl w:ilvl="0" w:tplc="B978C8DA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"/>
      <w:legacy w:legacy="1" w:legacySpace="0" w:legacyIndent="360"/>
      <w:lvlJc w:val="left"/>
      <w:pPr>
        <w:ind w:left="1534" w:hanging="360"/>
      </w:pPr>
      <w:rPr>
        <w:rFonts w:ascii="Wingdings" w:hAnsi="Wing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3">
    <w:nsid w:val="20050EDF"/>
    <w:multiLevelType w:val="hybridMultilevel"/>
    <w:tmpl w:val="CCDA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3C13"/>
    <w:multiLevelType w:val="multilevel"/>
    <w:tmpl w:val="07BAAC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hint="default"/>
      </w:rPr>
    </w:lvl>
  </w:abstractNum>
  <w:abstractNum w:abstractNumId="5">
    <w:nsid w:val="2DDE645F"/>
    <w:multiLevelType w:val="multilevel"/>
    <w:tmpl w:val="2E84E8D2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hint="default"/>
      </w:rPr>
    </w:lvl>
  </w:abstractNum>
  <w:abstractNum w:abstractNumId="6">
    <w:nsid w:val="357804BB"/>
    <w:multiLevelType w:val="multilevel"/>
    <w:tmpl w:val="D20CA6C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  <w:b/>
      </w:rPr>
    </w:lvl>
  </w:abstractNum>
  <w:abstractNum w:abstractNumId="7">
    <w:nsid w:val="3C217D46"/>
    <w:multiLevelType w:val="multilevel"/>
    <w:tmpl w:val="8B5A8E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32" w:hanging="2520"/>
      </w:pPr>
      <w:rPr>
        <w:rFonts w:hint="default"/>
      </w:rPr>
    </w:lvl>
  </w:abstractNum>
  <w:abstractNum w:abstractNumId="8">
    <w:nsid w:val="3D9F3F01"/>
    <w:multiLevelType w:val="hybridMultilevel"/>
    <w:tmpl w:val="99F248B6"/>
    <w:lvl w:ilvl="0" w:tplc="FFFFFFFF">
      <w:start w:val="1"/>
      <w:numFmt w:val="bullet"/>
      <w:lvlText w:val=""/>
      <w:legacy w:legacy="1" w:legacySpace="0" w:legacyIndent="360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49E2385"/>
    <w:multiLevelType w:val="hybridMultilevel"/>
    <w:tmpl w:val="995CF69C"/>
    <w:lvl w:ilvl="0" w:tplc="FFFFFFFF">
      <w:start w:val="1"/>
      <w:numFmt w:val="bullet"/>
      <w:lvlText w:val=""/>
      <w:legacy w:legacy="1" w:legacySpace="0" w:legacyIndent="360"/>
      <w:lvlJc w:val="left"/>
      <w:pPr>
        <w:ind w:left="2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0">
    <w:nsid w:val="52E0153A"/>
    <w:multiLevelType w:val="hybridMultilevel"/>
    <w:tmpl w:val="30348A62"/>
    <w:lvl w:ilvl="0" w:tplc="FFFFFFFF">
      <w:start w:val="1"/>
      <w:numFmt w:val="bullet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83554C"/>
    <w:multiLevelType w:val="multilevel"/>
    <w:tmpl w:val="38F453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ECF6743"/>
    <w:multiLevelType w:val="hybridMultilevel"/>
    <w:tmpl w:val="D6D8C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89F"/>
    <w:rsid w:val="0005422B"/>
    <w:rsid w:val="001079EB"/>
    <w:rsid w:val="001D22A7"/>
    <w:rsid w:val="002A2092"/>
    <w:rsid w:val="00416405"/>
    <w:rsid w:val="00416624"/>
    <w:rsid w:val="0042519B"/>
    <w:rsid w:val="004423AB"/>
    <w:rsid w:val="004624C8"/>
    <w:rsid w:val="005B4036"/>
    <w:rsid w:val="005E2E5E"/>
    <w:rsid w:val="00603C26"/>
    <w:rsid w:val="006349A4"/>
    <w:rsid w:val="00640903"/>
    <w:rsid w:val="00725038"/>
    <w:rsid w:val="008A4295"/>
    <w:rsid w:val="008B72E5"/>
    <w:rsid w:val="00923AC9"/>
    <w:rsid w:val="0094262F"/>
    <w:rsid w:val="009C7AA8"/>
    <w:rsid w:val="00AE046A"/>
    <w:rsid w:val="00B534E1"/>
    <w:rsid w:val="00BD1886"/>
    <w:rsid w:val="00BE1B4C"/>
    <w:rsid w:val="00D463E5"/>
    <w:rsid w:val="00D51990"/>
    <w:rsid w:val="00D72886"/>
    <w:rsid w:val="00D82B6B"/>
    <w:rsid w:val="00DB589F"/>
    <w:rsid w:val="00EB7628"/>
    <w:rsid w:val="00F901BF"/>
    <w:rsid w:val="00FA122F"/>
    <w:rsid w:val="00FB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B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72E5"/>
    <w:pPr>
      <w:keepNext/>
      <w:keepLines/>
      <w:spacing w:before="480" w:after="240" w:line="276" w:lineRule="auto"/>
      <w:ind w:firstLine="454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72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8B72E5"/>
    <w:pPr>
      <w:pBdr>
        <w:bottom w:val="single" w:sz="8" w:space="4" w:color="4F81BD"/>
      </w:pBdr>
      <w:spacing w:after="300"/>
      <w:ind w:firstLine="454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8B72E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TOC Heading"/>
    <w:basedOn w:val="1"/>
    <w:next w:val="a"/>
    <w:uiPriority w:val="99"/>
    <w:qFormat/>
    <w:rsid w:val="008B72E5"/>
    <w:pPr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rsid w:val="008B72E5"/>
    <w:pPr>
      <w:spacing w:after="100" w:line="276" w:lineRule="auto"/>
      <w:ind w:firstLine="454"/>
      <w:jc w:val="both"/>
    </w:pPr>
    <w:rPr>
      <w:rFonts w:ascii="Verdana" w:eastAsia="Calibri" w:hAnsi="Verdana"/>
      <w:sz w:val="22"/>
      <w:szCs w:val="22"/>
      <w:lang w:eastAsia="en-US"/>
    </w:rPr>
  </w:style>
  <w:style w:type="character" w:styleId="a6">
    <w:name w:val="Hyperlink"/>
    <w:basedOn w:val="a0"/>
    <w:uiPriority w:val="99"/>
    <w:rsid w:val="008B72E5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8B72E5"/>
    <w:pPr>
      <w:spacing w:after="80"/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8B72E5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05422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0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50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B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72E5"/>
    <w:pPr>
      <w:keepNext/>
      <w:keepLines/>
      <w:spacing w:before="480" w:after="240" w:line="276" w:lineRule="auto"/>
      <w:ind w:firstLine="454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72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8B72E5"/>
    <w:pPr>
      <w:pBdr>
        <w:bottom w:val="single" w:sz="8" w:space="4" w:color="4F81BD"/>
      </w:pBdr>
      <w:spacing w:after="300"/>
      <w:ind w:firstLine="454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8B72E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TOC Heading"/>
    <w:basedOn w:val="1"/>
    <w:next w:val="a"/>
    <w:uiPriority w:val="99"/>
    <w:qFormat/>
    <w:rsid w:val="008B72E5"/>
    <w:pPr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rsid w:val="008B72E5"/>
    <w:pPr>
      <w:spacing w:after="100" w:line="276" w:lineRule="auto"/>
      <w:ind w:firstLine="454"/>
      <w:jc w:val="both"/>
    </w:pPr>
    <w:rPr>
      <w:rFonts w:ascii="Verdana" w:eastAsia="Calibri" w:hAnsi="Verdana"/>
      <w:sz w:val="22"/>
      <w:szCs w:val="22"/>
      <w:lang w:eastAsia="en-US"/>
    </w:rPr>
  </w:style>
  <w:style w:type="character" w:styleId="a6">
    <w:name w:val="Hyperlink"/>
    <w:basedOn w:val="a0"/>
    <w:uiPriority w:val="99"/>
    <w:rsid w:val="008B72E5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8B72E5"/>
    <w:pPr>
      <w:spacing w:after="80"/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8B72E5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054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Горбаль Лариса Викторовна</dc:creator>
  <cp:lastModifiedBy>Мубаракова Марина Викторовна</cp:lastModifiedBy>
  <cp:revision>5</cp:revision>
  <cp:lastPrinted>2014-05-23T13:32:00Z</cp:lastPrinted>
  <dcterms:created xsi:type="dcterms:W3CDTF">2014-05-23T12:39:00Z</dcterms:created>
  <dcterms:modified xsi:type="dcterms:W3CDTF">2014-05-23T13:35:00Z</dcterms:modified>
</cp:coreProperties>
</file>