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9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ab/>
        <w:t xml:space="preserve">Приложение № </w:t>
      </w:r>
      <w:r w:rsidR="008530FA">
        <w:rPr>
          <w:rFonts w:ascii="Verdana" w:hAnsi="Verdana" w:cs="Arial"/>
          <w:b/>
          <w:sz w:val="22"/>
        </w:rPr>
        <w:t>5</w:t>
      </w:r>
      <w:r>
        <w:rPr>
          <w:rFonts w:ascii="Verdana" w:hAnsi="Verdana" w:cs="Arial"/>
          <w:b/>
          <w:sz w:val="22"/>
        </w:rPr>
        <w:t xml:space="preserve"> </w:t>
      </w:r>
    </w:p>
    <w:p w:rsidR="0018379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 xml:space="preserve">к договору подряда </w:t>
      </w:r>
    </w:p>
    <w:p w:rsidR="00590A1D" w:rsidRDefault="0018379D" w:rsidP="0018379D">
      <w:pPr>
        <w:tabs>
          <w:tab w:val="left" w:pos="6726"/>
        </w:tabs>
        <w:spacing w:after="0" w:line="240" w:lineRule="auto"/>
        <w:jc w:val="right"/>
        <w:rPr>
          <w:rFonts w:ascii="Verdana" w:hAnsi="Verdana" w:cs="Arial"/>
          <w:b/>
          <w:sz w:val="22"/>
        </w:rPr>
      </w:pPr>
      <w:r>
        <w:rPr>
          <w:rFonts w:ascii="Verdana" w:hAnsi="Verdana" w:cs="Arial"/>
          <w:b/>
          <w:sz w:val="22"/>
        </w:rPr>
        <w:t>№ ___ от «___» _____ 20__ г</w:t>
      </w:r>
      <w:r w:rsidR="008530FA">
        <w:rPr>
          <w:rFonts w:ascii="Verdana" w:hAnsi="Verdana" w:cs="Arial"/>
          <w:b/>
          <w:sz w:val="22"/>
        </w:rPr>
        <w:t>ода</w:t>
      </w:r>
    </w:p>
    <w:p w:rsidR="0018379D" w:rsidRDefault="0018379D" w:rsidP="0018379D">
      <w:pPr>
        <w:tabs>
          <w:tab w:val="left" w:pos="6726"/>
        </w:tabs>
        <w:spacing w:after="0" w:line="240" w:lineRule="auto"/>
        <w:rPr>
          <w:rFonts w:ascii="Verdana" w:hAnsi="Verdana" w:cs="Arial"/>
          <w:b/>
          <w:sz w:val="22"/>
        </w:rPr>
      </w:pPr>
    </w:p>
    <w:p w:rsidR="008B16B0" w:rsidRPr="00082BE8" w:rsidRDefault="008B16B0" w:rsidP="001D0D1B">
      <w:pPr>
        <w:spacing w:after="0" w:line="360" w:lineRule="auto"/>
        <w:rPr>
          <w:rFonts w:ascii="Verdana" w:hAnsi="Verdana" w:cs="Arial"/>
          <w:sz w:val="22"/>
        </w:rPr>
      </w:pPr>
    </w:p>
    <w:p w:rsidR="008B16B0" w:rsidRPr="00082BE8" w:rsidRDefault="008B16B0" w:rsidP="001D0D1B">
      <w:pPr>
        <w:spacing w:after="0" w:line="360" w:lineRule="auto"/>
        <w:rPr>
          <w:rFonts w:ascii="Verdana" w:hAnsi="Verdana" w:cs="Arial"/>
          <w:sz w:val="22"/>
        </w:rPr>
      </w:pPr>
    </w:p>
    <w:p w:rsidR="00637AF7" w:rsidRPr="00082BE8" w:rsidRDefault="00637AF7" w:rsidP="00637AF7">
      <w:pPr>
        <w:jc w:val="center"/>
        <w:rPr>
          <w:rFonts w:ascii="Verdana" w:hAnsi="Verdana"/>
          <w:b/>
          <w:sz w:val="28"/>
          <w:szCs w:val="28"/>
        </w:rPr>
      </w:pPr>
      <w:r w:rsidRPr="00082BE8">
        <w:rPr>
          <w:rFonts w:ascii="Verdana" w:hAnsi="Verdana"/>
          <w:b/>
          <w:sz w:val="28"/>
          <w:szCs w:val="28"/>
        </w:rPr>
        <w:t>РЕГЛАМЕНТ ОРГАНИЗАЦИИ</w:t>
      </w:r>
    </w:p>
    <w:p w:rsidR="00637AF7" w:rsidRPr="00082BE8" w:rsidRDefault="00065DE4" w:rsidP="00637AF7">
      <w:pPr>
        <w:jc w:val="center"/>
        <w:rPr>
          <w:rFonts w:ascii="Verdana" w:hAnsi="Verdana" w:cs="Arial"/>
          <w:sz w:val="22"/>
        </w:rPr>
      </w:pPr>
      <w:r>
        <w:rPr>
          <w:rFonts w:ascii="Verdana" w:hAnsi="Verdana" w:cs="Arial"/>
          <w:noProof/>
          <w:sz w:val="22"/>
        </w:rPr>
        <w:pict>
          <v:line id="_x0000_s1026" style="position:absolute;left:0;text-align:left;z-index:251666944" from="-7.95pt,7.2pt" to="467.25pt,7.2pt" strokeweight="2.25pt"/>
        </w:pict>
      </w:r>
    </w:p>
    <w:p w:rsidR="00F65056" w:rsidRDefault="00F65056" w:rsidP="00F65056">
      <w:pPr>
        <w:spacing w:after="0" w:line="240" w:lineRule="auto"/>
        <w:jc w:val="center"/>
        <w:rPr>
          <w:rFonts w:ascii="Verdana" w:hAnsi="Verdana"/>
          <w:b/>
          <w:sz w:val="28"/>
          <w:szCs w:val="28"/>
        </w:rPr>
      </w:pPr>
      <w:r>
        <w:rPr>
          <w:rFonts w:ascii="Verdana" w:hAnsi="Verdana"/>
          <w:b/>
          <w:sz w:val="28"/>
          <w:szCs w:val="28"/>
        </w:rPr>
        <w:t xml:space="preserve">Система менеджмента охраны здоровья </w:t>
      </w:r>
    </w:p>
    <w:p w:rsidR="00F65056" w:rsidRDefault="00F65056" w:rsidP="00F65056">
      <w:pPr>
        <w:spacing w:after="0" w:line="240" w:lineRule="auto"/>
        <w:jc w:val="center"/>
        <w:rPr>
          <w:rFonts w:ascii="Verdana" w:hAnsi="Verdana"/>
          <w:b/>
          <w:sz w:val="28"/>
          <w:szCs w:val="28"/>
        </w:rPr>
      </w:pPr>
      <w:r>
        <w:rPr>
          <w:rFonts w:ascii="Verdana" w:hAnsi="Verdana"/>
          <w:b/>
          <w:sz w:val="28"/>
          <w:szCs w:val="28"/>
        </w:rPr>
        <w:t>и безопасности труда</w:t>
      </w:r>
    </w:p>
    <w:p w:rsidR="00F65056" w:rsidRDefault="00F65056" w:rsidP="007C3A77">
      <w:pPr>
        <w:spacing w:line="240" w:lineRule="auto"/>
        <w:jc w:val="center"/>
        <w:rPr>
          <w:rFonts w:ascii="Verdana" w:hAnsi="Verdana"/>
          <w:b/>
          <w:sz w:val="28"/>
          <w:szCs w:val="28"/>
        </w:rPr>
      </w:pPr>
    </w:p>
    <w:p w:rsidR="00637AF7" w:rsidRPr="00082BE8" w:rsidRDefault="007C3A77" w:rsidP="00F65056">
      <w:pPr>
        <w:spacing w:line="240" w:lineRule="auto"/>
        <w:jc w:val="center"/>
        <w:rPr>
          <w:rFonts w:ascii="Verdana" w:hAnsi="Verdana"/>
          <w:b/>
          <w:sz w:val="28"/>
          <w:szCs w:val="28"/>
        </w:rPr>
      </w:pPr>
      <w:r w:rsidRPr="007C3A77">
        <w:rPr>
          <w:rFonts w:ascii="Verdana" w:hAnsi="Verdana"/>
          <w:b/>
          <w:sz w:val="28"/>
          <w:szCs w:val="28"/>
        </w:rPr>
        <w:t xml:space="preserve">Правила техники безопасности </w:t>
      </w:r>
      <w:r w:rsidRPr="007C3A77">
        <w:rPr>
          <w:rFonts w:ascii="Verdana" w:hAnsi="Verdana"/>
          <w:b/>
          <w:sz w:val="28"/>
          <w:szCs w:val="28"/>
        </w:rPr>
        <w:br/>
        <w:t xml:space="preserve">для </w:t>
      </w:r>
      <w:r w:rsidR="00525E33">
        <w:rPr>
          <w:rFonts w:ascii="Verdana" w:hAnsi="Verdana"/>
          <w:b/>
          <w:sz w:val="28"/>
          <w:szCs w:val="28"/>
        </w:rPr>
        <w:t xml:space="preserve">подрядных </w:t>
      </w:r>
      <w:r w:rsidR="00F65056">
        <w:rPr>
          <w:rFonts w:ascii="Verdana" w:hAnsi="Verdana"/>
          <w:b/>
          <w:sz w:val="28"/>
          <w:szCs w:val="28"/>
        </w:rPr>
        <w:t>организаци</w:t>
      </w:r>
      <w:r w:rsidR="00672CAF">
        <w:rPr>
          <w:rFonts w:ascii="Verdana" w:hAnsi="Verdana"/>
          <w:b/>
          <w:sz w:val="28"/>
          <w:szCs w:val="28"/>
        </w:rPr>
        <w:t>й</w:t>
      </w:r>
    </w:p>
    <w:p w:rsidR="00637AF7" w:rsidRPr="00082BE8" w:rsidRDefault="00065DE4" w:rsidP="00637AF7">
      <w:pPr>
        <w:jc w:val="center"/>
        <w:rPr>
          <w:rFonts w:ascii="Verdana" w:hAnsi="Verdana" w:cs="Arial"/>
          <w:sz w:val="22"/>
        </w:rPr>
      </w:pPr>
      <w:r>
        <w:rPr>
          <w:rFonts w:ascii="Verdana" w:hAnsi="Verdana" w:cs="Arial"/>
          <w:noProof/>
          <w:sz w:val="22"/>
        </w:rPr>
        <w:pict>
          <v:line id="_x0000_s1027" style="position:absolute;left:0;text-align:left;z-index:251667968" from="-7.95pt,2.4pt" to="467.25pt,2.4pt" strokeweight="2.25pt"/>
        </w:pict>
      </w:r>
    </w:p>
    <w:p w:rsidR="00550141" w:rsidRPr="00082BE8" w:rsidRDefault="00637AF7" w:rsidP="00637AF7">
      <w:pPr>
        <w:jc w:val="center"/>
        <w:rPr>
          <w:rFonts w:ascii="Verdana" w:hAnsi="Verdana" w:cs="Arial"/>
          <w:b/>
          <w:bCs/>
          <w:sz w:val="22"/>
        </w:rPr>
      </w:pPr>
      <w:r w:rsidRPr="00082BE8">
        <w:rPr>
          <w:rFonts w:ascii="Verdana" w:hAnsi="Verdana" w:cs="Arial"/>
          <w:b/>
          <w:sz w:val="22"/>
        </w:rPr>
        <w:t>РО-</w:t>
      </w:r>
      <w:r w:rsidR="00237C54">
        <w:rPr>
          <w:rFonts w:ascii="Verdana" w:hAnsi="Verdana" w:cs="Arial"/>
          <w:b/>
          <w:sz w:val="22"/>
        </w:rPr>
        <w:t>БРиИ</w:t>
      </w:r>
      <w:r w:rsidRPr="00082BE8">
        <w:rPr>
          <w:rFonts w:ascii="Verdana" w:hAnsi="Verdana" w:cs="Arial"/>
          <w:b/>
          <w:sz w:val="22"/>
        </w:rPr>
        <w:t>-</w:t>
      </w:r>
      <w:r w:rsidR="00F65056">
        <w:rPr>
          <w:rFonts w:ascii="Verdana" w:hAnsi="Verdana" w:cs="Arial"/>
          <w:b/>
          <w:sz w:val="22"/>
        </w:rPr>
        <w:t>01</w:t>
      </w:r>
    </w:p>
    <w:p w:rsidR="00550141" w:rsidRPr="00082BE8" w:rsidRDefault="00550141" w:rsidP="00550141">
      <w:pPr>
        <w:jc w:val="center"/>
        <w:rPr>
          <w:rFonts w:ascii="Verdana" w:hAnsi="Verdana" w:cs="Arial"/>
          <w:sz w:val="22"/>
        </w:rPr>
      </w:pPr>
    </w:p>
    <w:p w:rsidR="008B16B0" w:rsidRPr="00082BE8" w:rsidRDefault="008B16B0" w:rsidP="001D0D1B">
      <w:pPr>
        <w:jc w:val="center"/>
        <w:rPr>
          <w:rFonts w:ascii="Verdana" w:hAnsi="Verdana" w:cs="Arial"/>
          <w:sz w:val="22"/>
        </w:rPr>
      </w:pPr>
    </w:p>
    <w:p w:rsidR="00550141" w:rsidRPr="00082BE8" w:rsidRDefault="00550141" w:rsidP="001D0D1B">
      <w:pPr>
        <w:jc w:val="center"/>
        <w:rPr>
          <w:rFonts w:ascii="Verdana" w:hAnsi="Verdana" w:cs="Arial"/>
          <w:sz w:val="22"/>
        </w:rPr>
      </w:pPr>
    </w:p>
    <w:p w:rsidR="008B16B0" w:rsidRPr="00082BE8" w:rsidRDefault="008B16B0" w:rsidP="001D0D1B">
      <w:pPr>
        <w:jc w:val="center"/>
        <w:rPr>
          <w:rFonts w:ascii="Verdana" w:hAnsi="Verdana" w:cs="Arial"/>
          <w:sz w:val="22"/>
        </w:rPr>
      </w:pPr>
    </w:p>
    <w:p w:rsidR="008B16B0" w:rsidRPr="00082BE8" w:rsidRDefault="008B16B0" w:rsidP="001D0D1B">
      <w:pPr>
        <w:spacing w:after="0" w:line="240" w:lineRule="auto"/>
        <w:outlineLvl w:val="0"/>
        <w:rPr>
          <w:rFonts w:ascii="Verdana" w:hAnsi="Verdana" w:cs="Arial"/>
          <w:sz w:val="22"/>
        </w:rPr>
      </w:pPr>
    </w:p>
    <w:p w:rsidR="008B16B0" w:rsidRPr="00082BE8" w:rsidRDefault="008B16B0" w:rsidP="001D0D1B">
      <w:pPr>
        <w:spacing w:after="0" w:line="240" w:lineRule="auto"/>
        <w:outlineLvl w:val="0"/>
        <w:rPr>
          <w:rFonts w:ascii="Verdana" w:hAnsi="Verdana" w:cs="Arial"/>
          <w:sz w:val="22"/>
        </w:rPr>
      </w:pPr>
    </w:p>
    <w:p w:rsidR="00933C8D" w:rsidRPr="00082BE8" w:rsidRDefault="00933C8D" w:rsidP="00956908">
      <w:pPr>
        <w:rPr>
          <w:rFonts w:ascii="Verdana" w:hAnsi="Verdana"/>
          <w:sz w:val="22"/>
        </w:rPr>
      </w:pPr>
    </w:p>
    <w:p w:rsidR="00215B22" w:rsidRPr="00082BE8" w:rsidRDefault="008B16B0" w:rsidP="000523AF">
      <w:pPr>
        <w:jc w:val="center"/>
        <w:rPr>
          <w:rFonts w:ascii="Verdana" w:hAnsi="Verdana"/>
          <w:sz w:val="22"/>
        </w:rPr>
      </w:pPr>
      <w:bookmarkStart w:id="0" w:name="_Toc253138457"/>
      <w:r w:rsidRPr="00082BE8">
        <w:rPr>
          <w:rFonts w:ascii="Verdana" w:hAnsi="Verdana"/>
          <w:sz w:val="22"/>
        </w:rPr>
        <w:t>Москва</w:t>
      </w:r>
      <w:bookmarkEnd w:id="0"/>
    </w:p>
    <w:p w:rsidR="000523AF" w:rsidRPr="00082BE8" w:rsidRDefault="008B16B0" w:rsidP="000523AF">
      <w:pPr>
        <w:jc w:val="center"/>
        <w:rPr>
          <w:rFonts w:ascii="Verdana" w:hAnsi="Verdana"/>
          <w:sz w:val="22"/>
        </w:rPr>
        <w:sectPr w:rsidR="000523AF" w:rsidRPr="00082BE8" w:rsidSect="00F24275">
          <w:pgSz w:w="11906" w:h="16838"/>
          <w:pgMar w:top="1134" w:right="567" w:bottom="1134" w:left="1134" w:header="567" w:footer="567" w:gutter="0"/>
          <w:cols w:space="708"/>
          <w:docGrid w:linePitch="360"/>
        </w:sectPr>
      </w:pPr>
      <w:r w:rsidRPr="00082BE8">
        <w:rPr>
          <w:rFonts w:ascii="Verdana" w:hAnsi="Verdana"/>
          <w:sz w:val="22"/>
        </w:rPr>
        <w:t>20</w:t>
      </w:r>
      <w:r w:rsidR="00A15130" w:rsidRPr="00082BE8">
        <w:rPr>
          <w:rFonts w:ascii="Verdana" w:hAnsi="Verdana"/>
          <w:sz w:val="22"/>
        </w:rPr>
        <w:t>10</w:t>
      </w:r>
    </w:p>
    <w:p w:rsidR="00550141" w:rsidRPr="00082BE8" w:rsidRDefault="00550141" w:rsidP="00213D6A">
      <w:pPr>
        <w:spacing w:before="360" w:after="360" w:line="240" w:lineRule="auto"/>
        <w:ind w:firstLine="709"/>
        <w:rPr>
          <w:rFonts w:ascii="Verdana" w:hAnsi="Verdana"/>
          <w:b/>
          <w:sz w:val="28"/>
          <w:szCs w:val="28"/>
        </w:rPr>
      </w:pPr>
      <w:bookmarkStart w:id="1" w:name="_Toc212354397"/>
      <w:r w:rsidRPr="00082BE8">
        <w:rPr>
          <w:rFonts w:ascii="Verdana" w:hAnsi="Verdana"/>
          <w:b/>
          <w:sz w:val="28"/>
          <w:szCs w:val="28"/>
        </w:rPr>
        <w:lastRenderedPageBreak/>
        <w:t>Предисловие</w:t>
      </w:r>
      <w:bookmarkEnd w:id="1"/>
    </w:p>
    <w:p w:rsidR="00BA7804" w:rsidRPr="00082BE8" w:rsidRDefault="00B40B94" w:rsidP="00213D6A">
      <w:pPr>
        <w:numPr>
          <w:ilvl w:val="0"/>
          <w:numId w:val="1"/>
        </w:numPr>
        <w:spacing w:after="120" w:line="240" w:lineRule="auto"/>
        <w:ind w:left="0" w:firstLine="709"/>
        <w:jc w:val="both"/>
        <w:rPr>
          <w:rFonts w:ascii="Verdana" w:hAnsi="Verdana" w:cs="Arial"/>
          <w:sz w:val="22"/>
        </w:rPr>
      </w:pPr>
      <w:r w:rsidRPr="00082BE8">
        <w:rPr>
          <w:rFonts w:ascii="Verdana" w:hAnsi="Verdana" w:cs="Arial"/>
          <w:b/>
          <w:sz w:val="22"/>
        </w:rPr>
        <w:t>РАЗРАБОТАН</w:t>
      </w:r>
      <w:r w:rsidR="00BA7804" w:rsidRPr="00082BE8">
        <w:rPr>
          <w:rFonts w:ascii="Verdana" w:hAnsi="Verdana" w:cs="Arial"/>
          <w:b/>
          <w:sz w:val="22"/>
        </w:rPr>
        <w:t>:</w:t>
      </w:r>
      <w:r w:rsidR="001B63FD" w:rsidRPr="00082BE8">
        <w:rPr>
          <w:rFonts w:ascii="Verdana" w:hAnsi="Verdana" w:cs="Arial"/>
          <w:sz w:val="22"/>
        </w:rPr>
        <w:t xml:space="preserve"> Служба охраны труда и технического аудита ОАО «ОГК-4»</w:t>
      </w:r>
      <w:r w:rsidR="005456E8" w:rsidRPr="00082BE8">
        <w:rPr>
          <w:rFonts w:ascii="Verdana" w:hAnsi="Verdana" w:cs="Arial"/>
          <w:sz w:val="22"/>
        </w:rPr>
        <w:t>.</w:t>
      </w:r>
    </w:p>
    <w:p w:rsidR="00E061F0" w:rsidRPr="00082BE8" w:rsidRDefault="00B40B94" w:rsidP="00213D6A">
      <w:pPr>
        <w:numPr>
          <w:ilvl w:val="0"/>
          <w:numId w:val="1"/>
        </w:numPr>
        <w:spacing w:after="120" w:line="240" w:lineRule="auto"/>
        <w:ind w:left="0" w:firstLine="709"/>
        <w:jc w:val="both"/>
        <w:rPr>
          <w:rFonts w:ascii="Verdana" w:hAnsi="Verdana" w:cs="Arial"/>
          <w:sz w:val="22"/>
        </w:rPr>
      </w:pPr>
      <w:r w:rsidRPr="00082BE8">
        <w:rPr>
          <w:rFonts w:ascii="Verdana" w:hAnsi="Verdana" w:cs="Arial"/>
          <w:b/>
          <w:sz w:val="22"/>
        </w:rPr>
        <w:t>ПРИНЯТ</w:t>
      </w:r>
      <w:r w:rsidR="00BA7804" w:rsidRPr="00082BE8">
        <w:rPr>
          <w:rFonts w:ascii="Verdana" w:hAnsi="Verdana" w:cs="Arial"/>
          <w:b/>
          <w:sz w:val="22"/>
        </w:rPr>
        <w:t xml:space="preserve"> И ВВЕДЕН В ДЕЙСТВИЕ</w:t>
      </w:r>
      <w:r w:rsidR="00BA7804" w:rsidRPr="00082BE8">
        <w:rPr>
          <w:rFonts w:ascii="Verdana" w:hAnsi="Verdana" w:cs="Arial"/>
          <w:sz w:val="22"/>
        </w:rPr>
        <w:t xml:space="preserve"> </w:t>
      </w:r>
    </w:p>
    <w:p w:rsidR="00BA7804" w:rsidRPr="00082BE8" w:rsidRDefault="00BA7804" w:rsidP="00213D6A">
      <w:pPr>
        <w:spacing w:after="120" w:line="240" w:lineRule="auto"/>
        <w:ind w:firstLine="709"/>
        <w:jc w:val="both"/>
        <w:rPr>
          <w:rFonts w:ascii="Verdana" w:hAnsi="Verdana" w:cs="Arial"/>
          <w:sz w:val="22"/>
        </w:rPr>
      </w:pPr>
      <w:r w:rsidRPr="00082BE8">
        <w:rPr>
          <w:rFonts w:ascii="Verdana" w:hAnsi="Verdana" w:cs="Arial"/>
          <w:sz w:val="22"/>
        </w:rPr>
        <w:t>Приказом Генерального директ</w:t>
      </w:r>
      <w:r w:rsidR="00E574D1">
        <w:rPr>
          <w:rFonts w:ascii="Verdana" w:hAnsi="Verdana" w:cs="Arial"/>
          <w:sz w:val="22"/>
        </w:rPr>
        <w:t xml:space="preserve">ора ОАО «ОГК-4» от 19.11.2010г. </w:t>
      </w:r>
      <w:r w:rsidRPr="00082BE8">
        <w:rPr>
          <w:rFonts w:ascii="Verdana" w:hAnsi="Verdana" w:cs="Arial"/>
          <w:sz w:val="22"/>
        </w:rPr>
        <w:t xml:space="preserve"> №</w:t>
      </w:r>
      <w:r w:rsidR="00E574D1">
        <w:rPr>
          <w:rFonts w:ascii="Verdana" w:hAnsi="Verdana" w:cs="Arial"/>
          <w:sz w:val="22"/>
        </w:rPr>
        <w:t xml:space="preserve"> 267</w:t>
      </w:r>
      <w:r w:rsidR="005456E8" w:rsidRPr="00082BE8">
        <w:rPr>
          <w:rFonts w:ascii="Verdana" w:hAnsi="Verdana" w:cs="Arial"/>
          <w:sz w:val="22"/>
        </w:rPr>
        <w:t>.</w:t>
      </w:r>
    </w:p>
    <w:p w:rsidR="00BA7804" w:rsidRPr="00082BE8" w:rsidRDefault="00B40B94" w:rsidP="00213D6A">
      <w:pPr>
        <w:numPr>
          <w:ilvl w:val="0"/>
          <w:numId w:val="1"/>
        </w:numPr>
        <w:spacing w:after="120" w:line="240" w:lineRule="auto"/>
        <w:ind w:left="0" w:firstLine="709"/>
        <w:jc w:val="both"/>
        <w:rPr>
          <w:rFonts w:ascii="Verdana" w:hAnsi="Verdana" w:cs="Arial"/>
          <w:b/>
          <w:sz w:val="22"/>
        </w:rPr>
      </w:pPr>
      <w:r w:rsidRPr="00082BE8">
        <w:rPr>
          <w:rFonts w:ascii="Verdana" w:hAnsi="Verdana" w:cs="Arial"/>
          <w:b/>
          <w:sz w:val="22"/>
        </w:rPr>
        <w:t>ВВЕДЕН ВПЕРВЫЕ</w:t>
      </w:r>
      <w:r w:rsidR="005456E8" w:rsidRPr="00082BE8">
        <w:rPr>
          <w:rFonts w:ascii="Verdana" w:hAnsi="Verdana" w:cs="Arial"/>
          <w:b/>
          <w:sz w:val="22"/>
        </w:rPr>
        <w:t>.</w:t>
      </w:r>
    </w:p>
    <w:p w:rsidR="005456E8" w:rsidRDefault="001B63FD" w:rsidP="00213D6A">
      <w:pPr>
        <w:spacing w:before="360" w:after="360" w:line="240" w:lineRule="auto"/>
        <w:ind w:firstLine="709"/>
        <w:rPr>
          <w:rFonts w:ascii="Verdana" w:hAnsi="Verdana"/>
          <w:b/>
          <w:sz w:val="28"/>
          <w:szCs w:val="28"/>
        </w:rPr>
      </w:pPr>
      <w:r w:rsidRPr="00082BE8">
        <w:rPr>
          <w:rFonts w:ascii="Verdana" w:hAnsi="Verdana"/>
          <w:sz w:val="22"/>
        </w:rPr>
        <w:br w:type="page"/>
      </w:r>
      <w:r w:rsidR="005456E8" w:rsidRPr="00082BE8">
        <w:rPr>
          <w:rFonts w:ascii="Verdana" w:hAnsi="Verdana"/>
          <w:b/>
          <w:sz w:val="28"/>
          <w:szCs w:val="28"/>
        </w:rPr>
        <w:lastRenderedPageBreak/>
        <w:t>Содержание</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C513AF" w:rsidRPr="0018379D">
        <w:rPr>
          <w:rFonts w:ascii="Verdana" w:hAnsi="Verdana"/>
          <w:sz w:val="22"/>
        </w:rPr>
        <w:t>5</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C513AF" w:rsidRPr="0018379D">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t>1</w:t>
      </w:r>
      <w:r w:rsidR="00C513AF" w:rsidRPr="0018379D">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6.4</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C513AF" w:rsidRPr="0018379D">
        <w:rPr>
          <w:rFonts w:ascii="Verdana" w:hAnsi="Verdana"/>
          <w:sz w:val="22"/>
        </w:rPr>
        <w:t>19</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6.5</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6.6</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6.7</w:t>
      </w:r>
      <w:r w:rsidR="00253A26">
        <w:rPr>
          <w:rFonts w:ascii="Verdana" w:hAnsi="Verdana"/>
          <w:sz w:val="22"/>
        </w:rPr>
        <w:t>.</w:t>
      </w:r>
      <w:r w:rsidR="009050A4">
        <w:rPr>
          <w:rFonts w:ascii="Verdana" w:hAnsi="Verdana"/>
          <w:sz w:val="22"/>
        </w:rPr>
        <w:tab/>
        <w:t>Лестницы</w:t>
      </w:r>
      <w:r w:rsidR="009050A4">
        <w:rPr>
          <w:rFonts w:ascii="Verdana" w:hAnsi="Verdana"/>
          <w:sz w:val="22"/>
        </w:rPr>
        <w:tab/>
        <w:t>21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6.8</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6.9</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C513AF" w:rsidRPr="0018379D">
        <w:rPr>
          <w:rFonts w:ascii="Verdana" w:hAnsi="Verdana"/>
          <w:sz w:val="22"/>
        </w:rPr>
        <w:t>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C513AF">
        <w:rPr>
          <w:rFonts w:ascii="Verdana" w:hAnsi="Verdana"/>
          <w:sz w:val="22"/>
        </w:rPr>
        <w:t>2</w:t>
      </w:r>
      <w:r w:rsidR="00C513AF" w:rsidRPr="0018379D">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30</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Pr="007C3A77">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Pr="007C3A77">
        <w:rPr>
          <w:rFonts w:ascii="Verdana" w:hAnsi="Verdana"/>
          <w:sz w:val="22"/>
        </w:rPr>
        <w:t>1</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C513AF" w:rsidRPr="0018379D">
        <w:rPr>
          <w:rFonts w:ascii="Verdana" w:hAnsi="Verdana"/>
          <w:sz w:val="22"/>
        </w:rPr>
        <w:t>1</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Pr="007C3A77">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утилизация</w:t>
      </w:r>
      <w:r w:rsidR="009050A4">
        <w:rPr>
          <w:rFonts w:ascii="Verdana" w:hAnsi="Verdana"/>
          <w:sz w:val="22"/>
        </w:rPr>
        <w:tab/>
        <w:t>33</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9050A4">
        <w:rPr>
          <w:rFonts w:ascii="Verdana" w:hAnsi="Verdana"/>
          <w:sz w:val="22"/>
        </w:rPr>
        <w:t>33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t>Сварочно-резочные работы</w:t>
      </w:r>
      <w:r w:rsidRPr="007C3A77">
        <w:rPr>
          <w:rFonts w:ascii="Verdana" w:hAnsi="Verdana"/>
          <w:bCs/>
          <w:sz w:val="22"/>
        </w:rPr>
        <w:tab/>
      </w:r>
      <w:r w:rsidR="00C513AF">
        <w:rPr>
          <w:rFonts w:ascii="Verdana" w:hAnsi="Verdana"/>
          <w:sz w:val="22"/>
        </w:rPr>
        <w:t>3</w:t>
      </w:r>
      <w:r w:rsidR="00C513AF" w:rsidRPr="00183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Работы по струйной обработ</w:t>
      </w:r>
      <w:r w:rsidR="00C513AF">
        <w:rPr>
          <w:rFonts w:ascii="Verdana" w:hAnsi="Verdana"/>
          <w:bCs/>
          <w:sz w:val="22"/>
        </w:rPr>
        <w:t>ке</w:t>
      </w:r>
      <w:r w:rsidR="00C513AF">
        <w:rPr>
          <w:rFonts w:ascii="Verdana" w:hAnsi="Verdana"/>
          <w:bCs/>
          <w:sz w:val="22"/>
        </w:rPr>
        <w:tab/>
        <w:t>3</w:t>
      </w:r>
      <w:r w:rsidR="00C513AF" w:rsidRPr="0018379D">
        <w:rPr>
          <w:rFonts w:ascii="Verdana" w:hAnsi="Verdana"/>
          <w:bCs/>
          <w:sz w:val="22"/>
        </w:rPr>
        <w:t>7</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C513AF">
        <w:rPr>
          <w:rFonts w:ascii="Verdana" w:hAnsi="Verdana"/>
          <w:sz w:val="22"/>
        </w:rPr>
        <w:t>3</w:t>
      </w:r>
      <w:r w:rsidR="00C513AF" w:rsidRPr="0018379D">
        <w:rPr>
          <w:rFonts w:ascii="Verdana" w:hAnsi="Verdana"/>
          <w:sz w:val="22"/>
        </w:rPr>
        <w:t>8</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0E3794">
        <w:rPr>
          <w:rFonts w:ascii="Verdana" w:hAnsi="Verdana"/>
          <w:sz w:val="22"/>
        </w:rPr>
        <w:tab/>
        <w:t>38</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Pr>
          <w:rFonts w:ascii="Verdana" w:hAnsi="Verdana"/>
          <w:sz w:val="22"/>
        </w:rPr>
        <w:tab/>
        <w:t>38</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Pr>
          <w:rFonts w:ascii="Verdana" w:hAnsi="Verdana"/>
          <w:sz w:val="22"/>
        </w:rPr>
        <w:t>39</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C513AF" w:rsidRPr="0018379D">
        <w:rPr>
          <w:rFonts w:ascii="Verdana" w:hAnsi="Verdana"/>
          <w:sz w:val="22"/>
        </w:rPr>
        <w:t>1</w:t>
      </w:r>
    </w:p>
    <w:p w:rsidR="00253A26" w:rsidRPr="0018379D" w:rsidRDefault="00253A26" w:rsidP="00E15095">
      <w:pPr>
        <w:tabs>
          <w:tab w:val="right" w:pos="9639"/>
        </w:tabs>
        <w:spacing w:after="0" w:line="240" w:lineRule="auto"/>
        <w:ind w:left="1276" w:hanging="709"/>
        <w:rPr>
          <w:rFonts w:ascii="Verdana" w:hAnsi="Verdana"/>
          <w:bCs/>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C513AF" w:rsidRPr="0018379D">
        <w:rPr>
          <w:rFonts w:ascii="Verdana" w:hAnsi="Verdana"/>
          <w:sz w:val="22"/>
        </w:rPr>
        <w:t>3</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DD5A5C" w:rsidRPr="00DD5A5C">
        <w:rPr>
          <w:rFonts w:ascii="Verdana" w:hAnsi="Verdana"/>
          <w:sz w:val="22"/>
        </w:rPr>
        <w:t>ОГК-4</w:t>
      </w:r>
      <w:r w:rsidR="00A66AB4">
        <w:rPr>
          <w:rFonts w:ascii="Verdana" w:hAnsi="Verdana"/>
          <w:sz w:val="22"/>
        </w:rPr>
        <w:t>» (далее – Заказчик)</w:t>
      </w:r>
      <w:r w:rsidR="00DD5A5C" w:rsidRPr="00DD5A5C">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в установленном порядке пройти 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DD5A5C" w:rsidRDefault="00DD5A5C" w:rsidP="008D3A0C">
      <w:pPr>
        <w:tabs>
          <w:tab w:val="center" w:pos="1134"/>
        </w:tabs>
        <w:spacing w:after="120"/>
        <w:ind w:left="1134"/>
        <w:rPr>
          <w:rFonts w:ascii="Verdana" w:hAnsi="Verdana"/>
          <w:sz w:val="22"/>
        </w:rPr>
      </w:pPr>
      <w:r w:rsidRPr="00552D1C">
        <w:rPr>
          <w:rFonts w:ascii="Verdana" w:hAnsi="Verdana"/>
          <w:b/>
          <w:sz w:val="22"/>
        </w:rPr>
        <w:t>Во взрывоопасных зонах запрещено пользоваться мобильными телефонами (с взрывозащитой или без нее</w:t>
      </w:r>
      <w:r w:rsidRPr="00DD5A5C">
        <w:rPr>
          <w:rFonts w:ascii="Verdana" w:hAnsi="Verdana"/>
          <w:b/>
          <w:sz w:val="22"/>
        </w:rPr>
        <w:t>). Необходимо выключать приносимые с собой телефоны.</w:t>
      </w:r>
    </w:p>
    <w:p w:rsidR="00DD5A5C" w:rsidRPr="00DD5A5C" w:rsidRDefault="00DD5A5C" w:rsidP="008D3A0C">
      <w:pPr>
        <w:spacing w:after="120"/>
        <w:ind w:left="1134"/>
        <w:rPr>
          <w:rFonts w:ascii="Verdana" w:hAnsi="Verdana"/>
          <w:b/>
          <w:sz w:val="22"/>
        </w:rPr>
      </w:pPr>
      <w:r w:rsidRPr="00DD5A5C">
        <w:rPr>
          <w:rFonts w:ascii="Verdana" w:hAnsi="Verdana"/>
          <w:b/>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w:t>
      </w:r>
      <w:r w:rsidRPr="00DD5A5C">
        <w:rPr>
          <w:rFonts w:ascii="Verdana" w:hAnsi="Verdana"/>
          <w:sz w:val="22"/>
        </w:rPr>
        <w:lastRenderedPageBreak/>
        <w:t>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соответствующее обозначение.</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smartTag w:uri="urn:schemas-microsoft-com:office:smarttags" w:element="metricconverter">
        <w:smartTagPr>
          <w:attr w:name="ProductID" w:val="1 м"/>
        </w:smartTagPr>
        <w:r w:rsidRPr="000D0BF5">
          <w:rPr>
            <w:rFonts w:ascii="Verdana" w:hAnsi="Verdana"/>
            <w:sz w:val="22"/>
          </w:rPr>
          <w:t>1 м</w:t>
        </w:r>
      </w:smartTag>
      <w:r w:rsidRPr="000D0BF5">
        <w:rPr>
          <w:rFonts w:ascii="Verdana" w:hAnsi="Verdana"/>
          <w:sz w:val="22"/>
        </w:rPr>
        <w:t xml:space="preserve">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знаком “</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lastRenderedPageBreak/>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DD5A5C">
        <w:rPr>
          <w:rFonts w:ascii="Verdana" w:hAnsi="Verdana"/>
          <w:b/>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Сигнальный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(руковицы)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Респираторы могут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 xml:space="preserve">Все средства индивидуальной защиты должны использоваться только в </w:t>
      </w:r>
      <w:r w:rsidRPr="00B34021">
        <w:rPr>
          <w:rFonts w:ascii="Verdana" w:hAnsi="Verdana"/>
          <w:sz w:val="22"/>
        </w:rPr>
        <w:lastRenderedPageBreak/>
        <w:t>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552D1C" w:rsidRDefault="00552D1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lastRenderedPageBreak/>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8D3A0C">
      <w:pPr>
        <w:pStyle w:val="af8"/>
        <w:keepNext/>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8D3A0C">
      <w:pPr>
        <w:pStyle w:val="af8"/>
        <w:numPr>
          <w:ilvl w:val="0"/>
          <w:numId w:val="13"/>
        </w:numPr>
        <w:tabs>
          <w:tab w:val="center" w:pos="8789"/>
        </w:tabs>
        <w:spacing w:after="120"/>
        <w:ind w:left="1701" w:hanging="567"/>
        <w:contextualSpacing w:val="0"/>
        <w:rPr>
          <w:rFonts w:ascii="Verdana" w:hAnsi="Verdana"/>
          <w:sz w:val="22"/>
        </w:rPr>
      </w:pPr>
      <w:r w:rsidRPr="00237C54">
        <w:rPr>
          <w:rFonts w:ascii="Verdana" w:hAnsi="Verdana"/>
          <w:b/>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течении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оказать первую медицинскую помощь</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приступить к тушению пожара, приняв меры собственной безопасности</w:t>
      </w:r>
    </w:p>
    <w:p w:rsidR="00DD5A5C" w:rsidRPr="00DD5A5C" w:rsidRDefault="00DD5A5C" w:rsidP="008D3A0C">
      <w:pPr>
        <w:pStyle w:val="af8"/>
        <w:numPr>
          <w:ilvl w:val="0"/>
          <w:numId w:val="13"/>
        </w:numPr>
        <w:tabs>
          <w:tab w:val="center" w:pos="8789"/>
        </w:tabs>
        <w:spacing w:after="120"/>
        <w:ind w:left="1701" w:hanging="567"/>
        <w:contextualSpacing w:val="0"/>
        <w:rPr>
          <w:rFonts w:ascii="Verdana" w:hAnsi="Verdana"/>
          <w:b/>
          <w:sz w:val="22"/>
        </w:rPr>
      </w:pPr>
      <w:r w:rsidRPr="00DD5A5C">
        <w:rPr>
          <w:rFonts w:ascii="Verdana" w:hAnsi="Verdana"/>
          <w:b/>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течении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(диспетчера)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lastRenderedPageBreak/>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 о:</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сбора</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DD5A5C" w:rsidP="008D3A0C">
      <w:pPr>
        <w:pStyle w:val="af8"/>
        <w:numPr>
          <w:ilvl w:val="0"/>
          <w:numId w:val="14"/>
        </w:numPr>
        <w:tabs>
          <w:tab w:val="center" w:pos="8789"/>
        </w:tabs>
        <w:spacing w:after="120"/>
        <w:ind w:left="1701" w:hanging="567"/>
        <w:contextualSpacing w:val="0"/>
        <w:rPr>
          <w:rFonts w:ascii="Verdana" w:hAnsi="Verdana"/>
          <w:sz w:val="22"/>
        </w:rPr>
      </w:pPr>
      <w:r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pPr>
        <w:pStyle w:val="af8"/>
        <w:numPr>
          <w:ilvl w:val="0"/>
          <w:numId w:val="42"/>
        </w:numPr>
        <w:spacing w:after="120"/>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p>
    <w:p w:rsidR="00A0013C" w:rsidRDefault="00A67672">
      <w:pPr>
        <w:pStyle w:val="af8"/>
        <w:numPr>
          <w:ilvl w:val="0"/>
          <w:numId w:val="42"/>
        </w:numPr>
        <w:spacing w:after="120"/>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pPr>
        <w:pStyle w:val="af8"/>
        <w:numPr>
          <w:ilvl w:val="0"/>
          <w:numId w:val="42"/>
        </w:numPr>
        <w:spacing w:after="120"/>
        <w:rPr>
          <w:rFonts w:ascii="Verdana" w:hAnsi="Verdana"/>
          <w:sz w:val="22"/>
        </w:rPr>
      </w:pPr>
      <w:r w:rsidRPr="00A67672">
        <w:rPr>
          <w:rFonts w:ascii="Verdana" w:hAnsi="Verdana"/>
          <w:sz w:val="22"/>
        </w:rPr>
        <w:t>Завершить работы (Отключить подачу энергии, двигатели, компрессоры и т. д.).</w:t>
      </w:r>
    </w:p>
    <w:p w:rsidR="00A0013C" w:rsidRDefault="00A67672">
      <w:pPr>
        <w:pStyle w:val="af8"/>
        <w:numPr>
          <w:ilvl w:val="0"/>
          <w:numId w:val="42"/>
        </w:numPr>
        <w:spacing w:after="120"/>
        <w:rPr>
          <w:rFonts w:ascii="Verdana" w:hAnsi="Verdana"/>
          <w:b/>
          <w:sz w:val="22"/>
        </w:rPr>
      </w:pPr>
      <w:r w:rsidRPr="00A67672">
        <w:rPr>
          <w:rFonts w:ascii="Verdana" w:hAnsi="Verdana"/>
          <w:sz w:val="22"/>
        </w:rPr>
        <w:t xml:space="preserve">Ориентация поперек направления ветра </w:t>
      </w:r>
    </w:p>
    <w:p w:rsidR="00A0013C" w:rsidRDefault="00A67672">
      <w:pPr>
        <w:pStyle w:val="af8"/>
        <w:numPr>
          <w:ilvl w:val="0"/>
          <w:numId w:val="42"/>
        </w:numPr>
        <w:spacing w:after="120"/>
        <w:rPr>
          <w:rFonts w:ascii="Verdana" w:hAnsi="Verdana"/>
          <w:b/>
          <w:sz w:val="22"/>
        </w:rPr>
      </w:pPr>
      <w:r w:rsidRPr="00A67672">
        <w:rPr>
          <w:rFonts w:ascii="Verdana" w:hAnsi="Verdana"/>
          <w:sz w:val="22"/>
        </w:rPr>
        <w:t>Покидание участка поперек направления ветра</w:t>
      </w:r>
    </w:p>
    <w:p w:rsidR="00A0013C" w:rsidRDefault="00A67672">
      <w:pPr>
        <w:pStyle w:val="af8"/>
        <w:numPr>
          <w:ilvl w:val="0"/>
          <w:numId w:val="42"/>
        </w:numPr>
        <w:spacing w:after="120"/>
        <w:rPr>
          <w:rFonts w:ascii="Verdana" w:hAnsi="Verdana"/>
          <w:b/>
          <w:sz w:val="22"/>
        </w:rPr>
      </w:pPr>
      <w:r w:rsidRPr="00A67672">
        <w:rPr>
          <w:rFonts w:ascii="Verdana" w:hAnsi="Verdana"/>
          <w:sz w:val="22"/>
        </w:rPr>
        <w:t>Отыскать место сбора, используя пути эвакуации</w:t>
      </w:r>
    </w:p>
    <w:p w:rsidR="00A0013C" w:rsidRDefault="00A67672">
      <w:pPr>
        <w:pStyle w:val="af8"/>
        <w:numPr>
          <w:ilvl w:val="0"/>
          <w:numId w:val="42"/>
        </w:numPr>
        <w:spacing w:after="120"/>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p>
    <w:p w:rsidR="00A0013C" w:rsidRDefault="00A67672">
      <w:pPr>
        <w:pStyle w:val="af8"/>
        <w:numPr>
          <w:ilvl w:val="0"/>
          <w:numId w:val="42"/>
        </w:numPr>
        <w:spacing w:after="120"/>
        <w:rPr>
          <w:rFonts w:ascii="Verdana" w:hAnsi="Verdana"/>
          <w:b/>
          <w:sz w:val="22"/>
        </w:rPr>
      </w:pPr>
      <w:r w:rsidRPr="00A67672">
        <w:rPr>
          <w:rFonts w:ascii="Verdana" w:hAnsi="Verdana"/>
          <w:sz w:val="22"/>
        </w:rPr>
        <w:t>Закрыть окна, двери, ворота</w:t>
      </w:r>
    </w:p>
    <w:p w:rsidR="00A0013C" w:rsidRDefault="00A67672">
      <w:pPr>
        <w:pStyle w:val="af8"/>
        <w:numPr>
          <w:ilvl w:val="0"/>
          <w:numId w:val="42"/>
        </w:numPr>
        <w:spacing w:after="120"/>
        <w:rPr>
          <w:rFonts w:ascii="Verdana" w:hAnsi="Verdana"/>
          <w:b/>
          <w:sz w:val="22"/>
        </w:rPr>
      </w:pPr>
      <w:r w:rsidRPr="00A67672">
        <w:rPr>
          <w:rFonts w:ascii="Verdana" w:hAnsi="Verdana"/>
          <w:sz w:val="22"/>
        </w:rPr>
        <w:t>Обязательно следовать указаниям пожарной части  и сотрудникам  охраны!</w:t>
      </w:r>
    </w:p>
    <w:p w:rsidR="00A0013C" w:rsidRDefault="00A67672">
      <w:pPr>
        <w:pStyle w:val="af8"/>
        <w:numPr>
          <w:ilvl w:val="0"/>
          <w:numId w:val="42"/>
        </w:numPr>
        <w:spacing w:after="120"/>
        <w:jc w:val="both"/>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(наряд-допуски, распоряжения, акты-допуска)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392381">
        <w:rPr>
          <w:rFonts w:ascii="Verdana" w:hAnsi="Verdana"/>
          <w:sz w:val="22"/>
        </w:rPr>
        <w:t xml:space="preserve"> до начала производства работ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 xml:space="preserve">письмо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член бригады, выдающий наряды или распоряжения и т.д.), паспортные данные, а так же с указанием периода времени их пребывания на территории ОГК-4.</w:t>
      </w:r>
    </w:p>
    <w:p w:rsidR="00552D1C" w:rsidRDefault="00DD5A5C" w:rsidP="008D3A0C">
      <w:pPr>
        <w:pStyle w:val="af8"/>
        <w:tabs>
          <w:tab w:val="center" w:pos="1134"/>
          <w:tab w:val="center" w:pos="8789"/>
        </w:tabs>
        <w:spacing w:after="120"/>
        <w:ind w:left="1134"/>
        <w:contextualSpacing w:val="0"/>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lastRenderedPageBreak/>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D31859">
        <w:rPr>
          <w:rFonts w:ascii="Verdana" w:hAnsi="Verdana"/>
          <w:sz w:val="22"/>
        </w:rPr>
        <w:t>я</w:t>
      </w:r>
      <w:r w:rsidRPr="00DD5A5C">
        <w:rPr>
          <w:rFonts w:ascii="Verdana" w:hAnsi="Verdana"/>
          <w:sz w:val="22"/>
        </w:rPr>
        <w:t xml:space="preserve"> наряда-допуска</w:t>
      </w:r>
      <w:r w:rsidR="00D31859">
        <w:rPr>
          <w:rFonts w:ascii="Verdana" w:hAnsi="Verdana"/>
          <w:sz w:val="22"/>
        </w:rPr>
        <w:t xml:space="preserve"> (распоряжения)</w:t>
      </w:r>
      <w:r w:rsidRPr="00DD5A5C">
        <w:rPr>
          <w:rFonts w:ascii="Verdana" w:hAnsi="Verdana"/>
          <w:sz w:val="22"/>
        </w:rPr>
        <w:t xml:space="preserve"> </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 xml:space="preserve">должна состоится как минимум из 2 </w:t>
      </w:r>
      <w:r w:rsidR="00D31859">
        <w:rPr>
          <w:rFonts w:ascii="Verdana" w:hAnsi="Verdana"/>
          <w:sz w:val="22"/>
        </w:rPr>
        <w:t>человек</w:t>
      </w:r>
      <w:r w:rsidRPr="00DD5A5C">
        <w:rPr>
          <w:rFonts w:ascii="Verdana" w:hAnsi="Verdana"/>
          <w:sz w:val="22"/>
        </w:rPr>
        <w:t>)</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xml:space="preserve">. В ином случае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 xml:space="preserve">П, СанПин)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 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 xml:space="preserve">того </w:t>
      </w:r>
      <w:r w:rsidR="004F6C67">
        <w:rPr>
          <w:rFonts w:ascii="Verdana" w:hAnsi="Verdana"/>
          <w:sz w:val="22"/>
        </w:rPr>
        <w:lastRenderedPageBreak/>
        <w:t>пламени. В противном случаи</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6A5097">
      <w:pPr>
        <w:pStyle w:val="af8"/>
        <w:numPr>
          <w:ilvl w:val="2"/>
          <w:numId w:val="8"/>
        </w:numPr>
        <w:spacing w:after="120"/>
        <w:ind w:left="1134" w:hanging="1134"/>
        <w:contextualSpacing w:val="0"/>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установить какое-либо оборудование вокруг этих устройств ограничивающее или полностью заблокировающее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lastRenderedPageBreak/>
        <w:t xml:space="preserve">нормами и </w:t>
      </w:r>
      <w:r w:rsidRPr="00DD5A5C">
        <w:rPr>
          <w:rFonts w:ascii="Verdana" w:hAnsi="Verdana"/>
          <w:sz w:val="22"/>
        </w:rPr>
        <w:t>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В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p>
    <w:p w:rsidR="007F122A" w:rsidRDefault="007F122A" w:rsidP="006A5097">
      <w:pPr>
        <w:pStyle w:val="af8"/>
        <w:numPr>
          <w:ilvl w:val="2"/>
          <w:numId w:val="8"/>
        </w:numPr>
        <w:tabs>
          <w:tab w:val="center" w:pos="8789"/>
        </w:tabs>
        <w:spacing w:after="120"/>
        <w:ind w:left="1134" w:hanging="1134"/>
        <w:contextualSpacing w:val="0"/>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актов-допусков</w:t>
      </w:r>
      <w:r>
        <w:rPr>
          <w:rFonts w:ascii="Verdana" w:hAnsi="Verdana"/>
          <w:sz w:val="22"/>
        </w:rPr>
        <w:t xml:space="preserve"> на основании действующих правил:</w:t>
      </w:r>
    </w:p>
    <w:p w:rsidR="007F122A" w:rsidRPr="00227170" w:rsidRDefault="007F122A" w:rsidP="006A5097">
      <w:pPr>
        <w:pStyle w:val="110"/>
        <w:tabs>
          <w:tab w:val="left" w:pos="1560"/>
        </w:tabs>
        <w:spacing w:after="120" w:line="240" w:lineRule="auto"/>
        <w:ind w:left="1276" w:hanging="142"/>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Pr="00BC205E">
        <w:rPr>
          <w:rFonts w:ascii="Verdana" w:hAnsi="Verdana"/>
          <w:sz w:val="22"/>
        </w:rPr>
        <w:br/>
        <w:t>ПОТ Р М – 016-2001; РД 153-34.0-03.150-00</w:t>
      </w:r>
      <w:r w:rsidR="00F55C3C">
        <w:rPr>
          <w:rFonts w:ascii="Verdana" w:hAnsi="Verdana"/>
          <w:sz w:val="22"/>
        </w:rPr>
        <w:t>;</w:t>
      </w:r>
    </w:p>
    <w:p w:rsidR="007F122A" w:rsidRDefault="007F122A" w:rsidP="006A5097">
      <w:pPr>
        <w:pStyle w:val="110"/>
        <w:tabs>
          <w:tab w:val="left" w:pos="1560"/>
        </w:tabs>
        <w:spacing w:after="120" w:line="240" w:lineRule="auto"/>
        <w:ind w:left="1276" w:hanging="142"/>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 xml:space="preserve">электростанций и тепловых сетей </w:t>
      </w:r>
      <w:r w:rsidRPr="00BC205E">
        <w:rPr>
          <w:rFonts w:ascii="Verdana" w:hAnsi="Verdana"/>
          <w:sz w:val="22"/>
        </w:rPr>
        <w:t>РД 34.03.201-97</w:t>
      </w:r>
      <w:r w:rsidR="00F55C3C">
        <w:rPr>
          <w:rFonts w:ascii="Verdana" w:hAnsi="Verdana"/>
          <w:sz w:val="22"/>
        </w:rPr>
        <w:t>;</w:t>
      </w:r>
    </w:p>
    <w:p w:rsidR="007F122A" w:rsidRDefault="007F122A" w:rsidP="006A5097">
      <w:pPr>
        <w:pStyle w:val="110"/>
        <w:tabs>
          <w:tab w:val="left" w:pos="1560"/>
        </w:tabs>
        <w:spacing w:after="0" w:line="240" w:lineRule="auto"/>
        <w:ind w:left="1276" w:hanging="142"/>
        <w:rPr>
          <w:rFonts w:ascii="Verdana" w:hAnsi="Verdana"/>
          <w:sz w:val="22"/>
        </w:rPr>
      </w:pPr>
      <w:r>
        <w:rPr>
          <w:rFonts w:ascii="Verdana" w:hAnsi="Verdana"/>
          <w:sz w:val="22"/>
        </w:rPr>
        <w:t>- Инструкция по организации и производству работ повышенной опасности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E954E8" w:rsidRPr="00DD5A5C" w:rsidRDefault="00E954E8" w:rsidP="006A5097">
      <w:pPr>
        <w:pStyle w:val="af8"/>
        <w:spacing w:after="120"/>
        <w:ind w:left="1134" w:hanging="1134"/>
        <w:contextualSpacing w:val="0"/>
        <w:jc w:val="both"/>
        <w:rPr>
          <w:rFonts w:ascii="Verdana" w:hAnsi="Verdana"/>
          <w:sz w:val="22"/>
        </w:rPr>
      </w:pP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выполнения работ, также работ с кратковременным риском падения с высоты (например, открытие люков, удаление решеток или </w:t>
      </w:r>
      <w:r w:rsidRPr="00DD5A5C">
        <w:rPr>
          <w:rFonts w:ascii="Verdana" w:hAnsi="Verdana"/>
          <w:sz w:val="22"/>
        </w:rPr>
        <w:lastRenderedPageBreak/>
        <w:t>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p>
    <w:p w:rsidR="00054C01" w:rsidRDefault="00A67672" w:rsidP="00054C01">
      <w:pPr>
        <w:spacing w:after="120"/>
        <w:ind w:left="1134"/>
        <w:rPr>
          <w:rFonts w:ascii="Verdana" w:hAnsi="Verdana"/>
          <w:sz w:val="22"/>
        </w:rPr>
      </w:pPr>
      <w:r w:rsidRPr="00A67672">
        <w:rPr>
          <w:rFonts w:ascii="Verdana" w:hAnsi="Verdana"/>
          <w:sz w:val="22"/>
        </w:rPr>
        <w:t>Ненужное необходимо вычеркнуть в разрешении на использование лесов.</w:t>
      </w:r>
    </w:p>
    <w:p w:rsidR="00DD5A5C" w:rsidRPr="00DD5A5C" w:rsidRDefault="00DD5A5C" w:rsidP="006A5097">
      <w:pPr>
        <w:pStyle w:val="af8"/>
        <w:numPr>
          <w:ilvl w:val="2"/>
          <w:numId w:val="8"/>
        </w:numPr>
        <w:spacing w:after="120"/>
        <w:ind w:left="1134" w:hanging="1134"/>
        <w:contextualSpacing w:val="0"/>
        <w:rPr>
          <w:rFonts w:ascii="Verdana" w:hAnsi="Verdana"/>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xml:space="preserve">. Для ограждения можно использовать перила, цепи и тросы с предупредительной табличкой. </w:t>
      </w:r>
      <w:r w:rsidRPr="00DD5A5C">
        <w:rPr>
          <w:rFonts w:ascii="Verdana" w:hAnsi="Verdana"/>
          <w:b/>
          <w:sz w:val="22"/>
        </w:rPr>
        <w:t>Запрещено использовать сигнальную оградительную ленту.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Pr>
          <w:rFonts w:ascii="Verdana" w:hAnsi="Verdana"/>
          <w:sz w:val="22"/>
        </w:rPr>
        <w:t>, с двумя стропами</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6A5097">
      <w:pPr>
        <w:pStyle w:val="af8"/>
        <w:numPr>
          <w:ilvl w:val="2"/>
          <w:numId w:val="8"/>
        </w:numPr>
        <w:spacing w:after="120"/>
        <w:ind w:left="1134" w:hanging="1134"/>
        <w:contextualSpacing w:val="0"/>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w:t>
      </w:r>
      <w:r w:rsidRPr="00DD5A5C">
        <w:rPr>
          <w:rFonts w:ascii="Verdana" w:hAnsi="Verdana"/>
          <w:sz w:val="22"/>
        </w:rPr>
        <w:lastRenderedPageBreak/>
        <w:t xml:space="preserve">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всех подходах к лесам необходимо поместить минимум одну разрешительную табличку, свидетельствующую о допуске лесов к использованию (зеленая бирка; для запрещения доступа к лесам необходимо использовать красный ярлык для лесов с надписью «Закрыто» или «Не подниматься на леса»).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леса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Леса необходимо устанавливать так, чтобы они не ограничивали доступ к каналам, точек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предохранительным устройствам, аварийным душевым установкам и (подземной) запорной арматуре. Запрещено заграждать пути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вибрации,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w:t>
      </w:r>
      <w:smartTag w:uri="urn:schemas-microsoft-com:office:smarttags" w:element="metricconverter">
        <w:smartTagPr>
          <w:attr w:name="ProductID" w:val="4 м"/>
        </w:smartTagPr>
        <w:r w:rsidRPr="00DD5A5C">
          <w:rPr>
            <w:rFonts w:ascii="Verdana" w:hAnsi="Verdana"/>
            <w:sz w:val="22"/>
          </w:rPr>
          <w:t>4 м</w:t>
        </w:r>
      </w:smartTag>
      <w:r w:rsidRPr="00DD5A5C">
        <w:rPr>
          <w:rFonts w:ascii="Verdana" w:hAnsi="Verdana"/>
          <w:sz w:val="22"/>
        </w:rPr>
        <w:t xml:space="preserve">,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лесов настилы необходимо использовать в качестве поверхности для монтажа. Их ширина должна составлять минимум </w:t>
      </w:r>
      <w:smartTag w:uri="urn:schemas-microsoft-com:office:smarttags" w:element="metricconverter">
        <w:smartTagPr>
          <w:attr w:name="ProductID" w:val="0,5 м"/>
        </w:smartTagPr>
        <w:r w:rsidRPr="00DD5A5C">
          <w:rPr>
            <w:rFonts w:ascii="Verdana" w:hAnsi="Verdana"/>
            <w:sz w:val="22"/>
          </w:rPr>
          <w:t>0,5 м</w:t>
        </w:r>
      </w:smartTag>
      <w:r w:rsidRPr="00DD5A5C">
        <w:rPr>
          <w:rFonts w:ascii="Verdana" w:hAnsi="Verdana"/>
          <w:sz w:val="22"/>
        </w:rPr>
        <w:t xml:space="preserve">. Вертикальное расстояние между настилами должно составлять максимум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lastRenderedPageBreak/>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поверхности. После этого необходимо смонтировать поручень, а затем всю трехуровневую защиту.</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Обязанность использования страховочного снаряжения в зонах с риском падения с высоты более:</w:t>
      </w:r>
    </w:p>
    <w:p w:rsidR="00DD5A5C" w:rsidRPr="00DD5A5C" w:rsidRDefault="00DD5A5C" w:rsidP="00224B66">
      <w:pPr>
        <w:spacing w:after="120"/>
        <w:ind w:left="1134"/>
        <w:jc w:val="both"/>
        <w:rPr>
          <w:rFonts w:ascii="Verdana" w:hAnsi="Verdana"/>
          <w:sz w:val="22"/>
        </w:rPr>
      </w:pPr>
      <w:r w:rsidRPr="00DD5A5C">
        <w:rPr>
          <w:rFonts w:ascii="Verdana" w:hAnsi="Verdana"/>
          <w:sz w:val="22"/>
        </w:rPr>
        <w:t xml:space="preserve">- </w:t>
      </w:r>
      <w:smartTag w:uri="urn:schemas-microsoft-com:office:smarttags" w:element="metricconverter">
        <w:smartTagPr>
          <w:attr w:name="ProductID" w:val="2,5 м"/>
        </w:smartTagPr>
        <w:r w:rsidRPr="00DD5A5C">
          <w:rPr>
            <w:rFonts w:ascii="Verdana" w:hAnsi="Verdana"/>
            <w:sz w:val="22"/>
          </w:rPr>
          <w:t>2,5 м</w:t>
        </w:r>
      </w:smartTag>
    </w:p>
    <w:p w:rsidR="00DD5A5C" w:rsidRPr="00DD5A5C" w:rsidRDefault="00DD5A5C" w:rsidP="006A5097">
      <w:pPr>
        <w:spacing w:after="120"/>
        <w:ind w:left="1134"/>
        <w:jc w:val="both"/>
        <w:rPr>
          <w:rFonts w:ascii="Verdana" w:hAnsi="Verdana"/>
          <w:sz w:val="22"/>
        </w:rPr>
      </w:pPr>
      <w:r w:rsidRPr="00DD5A5C">
        <w:rPr>
          <w:rFonts w:ascii="Verdana" w:hAnsi="Verdana"/>
          <w:sz w:val="22"/>
        </w:rPr>
        <w:t xml:space="preserve">- </w:t>
      </w:r>
      <w:r w:rsidR="00E943D9">
        <w:rPr>
          <w:rFonts w:ascii="Verdana" w:hAnsi="Verdana"/>
          <w:sz w:val="22"/>
        </w:rPr>
        <w:t xml:space="preserve">с </w:t>
      </w:r>
      <w:r w:rsidRPr="00DD5A5C">
        <w:rPr>
          <w:rFonts w:ascii="Verdana" w:hAnsi="Verdana"/>
          <w:sz w:val="22"/>
        </w:rPr>
        <w:t xml:space="preserve">канатом длиной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включая амортизаторы</w:t>
      </w:r>
    </w:p>
    <w:p w:rsidR="00DD5A5C" w:rsidRPr="00DD5A5C" w:rsidRDefault="00DD5A5C" w:rsidP="006A5097">
      <w:pPr>
        <w:spacing w:after="120"/>
        <w:ind w:left="1134"/>
        <w:jc w:val="both"/>
        <w:rPr>
          <w:rFonts w:ascii="Verdana" w:hAnsi="Verdana"/>
          <w:i/>
          <w:color w:val="FF0000"/>
          <w:sz w:val="22"/>
        </w:rPr>
      </w:pPr>
      <w:r w:rsidRPr="00DD5A5C">
        <w:rPr>
          <w:rFonts w:ascii="Verdana" w:hAnsi="Verdana"/>
          <w:sz w:val="22"/>
        </w:rPr>
        <w:t xml:space="preserve">- </w:t>
      </w:r>
      <w:r w:rsidR="00E943D9">
        <w:rPr>
          <w:rFonts w:ascii="Verdana" w:hAnsi="Verdana"/>
          <w:sz w:val="22"/>
        </w:rPr>
        <w:t xml:space="preserve">с </w:t>
      </w:r>
      <w:r w:rsidRPr="00DD5A5C">
        <w:rPr>
          <w:rFonts w:ascii="Verdana" w:hAnsi="Verdana"/>
          <w:sz w:val="22"/>
        </w:rPr>
        <w:t xml:space="preserve">крюком согласно </w:t>
      </w:r>
      <w:r w:rsidRPr="00227170">
        <w:rPr>
          <w:rFonts w:ascii="Verdana" w:hAnsi="Verdana"/>
          <w:sz w:val="22"/>
        </w:rPr>
        <w:t xml:space="preserve">DIN </w:t>
      </w:r>
      <w:smartTag w:uri="urn:schemas-microsoft-com:office:smarttags" w:element="metricconverter">
        <w:smartTagPr>
          <w:attr w:name="ProductID" w:val="5299 C"/>
        </w:smartTagPr>
        <w:r w:rsidRPr="00227170">
          <w:rPr>
            <w:rFonts w:ascii="Verdana" w:hAnsi="Verdana"/>
            <w:sz w:val="22"/>
          </w:rPr>
          <w:t>5299 C</w:t>
        </w:r>
      </w:smartTag>
      <w:r w:rsidRPr="00227170">
        <w:rPr>
          <w:rFonts w:ascii="Verdana" w:hAnsi="Verdana"/>
          <w:sz w:val="22"/>
        </w:rPr>
        <w:t xml:space="preserve"> арт. № 90</w:t>
      </w:r>
      <w:r w:rsidRPr="00DD5A5C">
        <w:rPr>
          <w:rFonts w:ascii="Verdana" w:hAnsi="Verdana"/>
          <w:sz w:val="22"/>
        </w:rPr>
        <w:t xml:space="preserve"> – размер зева </w:t>
      </w:r>
      <w:smartTag w:uri="urn:schemas-microsoft-com:office:smarttags" w:element="metricconverter">
        <w:smartTagPr>
          <w:attr w:name="ProductID" w:val="51 мм"/>
        </w:smartTagPr>
        <w:r w:rsidRPr="00DD5A5C">
          <w:rPr>
            <w:rFonts w:ascii="Verdana" w:hAnsi="Verdana"/>
            <w:sz w:val="22"/>
          </w:rPr>
          <w:t>51 мм</w:t>
        </w:r>
      </w:smartTag>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перемещении материалов на каждой платформе (максимальная разность высот </w:t>
      </w:r>
      <w:smartTag w:uri="urn:schemas-microsoft-com:office:smarttags" w:element="metricconverter">
        <w:smartTagPr>
          <w:attr w:name="ProductID" w:val="2 м"/>
        </w:smartTagPr>
        <w:r w:rsidRPr="00DD5A5C">
          <w:rPr>
            <w:rFonts w:ascii="Verdana" w:hAnsi="Verdana"/>
            <w:sz w:val="22"/>
          </w:rPr>
          <w:t>2 м</w:t>
        </w:r>
      </w:smartTag>
      <w:r w:rsidRPr="00DD5A5C">
        <w:rPr>
          <w:rFonts w:ascii="Verdana" w:hAnsi="Verdana"/>
          <w:sz w:val="22"/>
        </w:rPr>
        <w:t>)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DD5A5C">
        <w:rPr>
          <w:rFonts w:ascii="Verdana" w:hAnsi="Verdana"/>
          <w:sz w:val="22"/>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w:t>
      </w:r>
      <w:smartTag w:uri="urn:schemas-microsoft-com:office:smarttags" w:element="metricconverter">
        <w:smartTagPr>
          <w:attr w:name="ProductID" w:val="4 м"/>
        </w:smartTagPr>
        <w:r w:rsidRPr="00DD5A5C">
          <w:rPr>
            <w:rFonts w:ascii="Verdana" w:hAnsi="Verdana"/>
            <w:sz w:val="22"/>
          </w:rPr>
          <w:t>4 м</w:t>
        </w:r>
      </w:smartTag>
      <w:r w:rsidRPr="00DD5A5C">
        <w:rPr>
          <w:rFonts w:ascii="Verdana" w:hAnsi="Verdana"/>
          <w:sz w:val="22"/>
        </w:rPr>
        <w:t xml:space="preserve">)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организуется в соответствии с:</w:t>
      </w:r>
    </w:p>
    <w:p w:rsidR="0033069E" w:rsidRPr="00E943D9" w:rsidRDefault="0033069E" w:rsidP="006A5097">
      <w:pPr>
        <w:pStyle w:val="110"/>
        <w:tabs>
          <w:tab w:val="left" w:pos="1560"/>
          <w:tab w:val="left" w:pos="3686"/>
        </w:tabs>
        <w:spacing w:after="120" w:line="240" w:lineRule="auto"/>
        <w:ind w:left="1134"/>
        <w:rPr>
          <w:rFonts w:ascii="Verdana" w:hAnsi="Verdana"/>
          <w:sz w:val="22"/>
        </w:rPr>
      </w:pPr>
      <w:r w:rsidRPr="00E943D9">
        <w:rPr>
          <w:rFonts w:ascii="Verdana" w:hAnsi="Verdana"/>
          <w:sz w:val="22"/>
        </w:rPr>
        <w:t xml:space="preserve">- Правилами устройств и безопасной эксплуатации строительных подъемниках </w:t>
      </w:r>
      <w:r w:rsidR="00A67672" w:rsidRPr="00A67672">
        <w:rPr>
          <w:rFonts w:ascii="Verdana" w:hAnsi="Verdana"/>
          <w:sz w:val="22"/>
        </w:rPr>
        <w:t>ПБ 10-518-02;</w:t>
      </w:r>
    </w:p>
    <w:p w:rsidR="0033069E" w:rsidRPr="00E943D9" w:rsidRDefault="00A67672" w:rsidP="006A5097">
      <w:pPr>
        <w:pStyle w:val="110"/>
        <w:tabs>
          <w:tab w:val="left" w:pos="1560"/>
          <w:tab w:val="left" w:pos="3686"/>
        </w:tabs>
        <w:spacing w:after="0" w:line="240" w:lineRule="auto"/>
        <w:ind w:left="1134"/>
        <w:rPr>
          <w:rFonts w:ascii="Verdana" w:hAnsi="Verdana"/>
          <w:sz w:val="22"/>
        </w:rPr>
      </w:pPr>
      <w:r w:rsidRPr="00A67672">
        <w:rPr>
          <w:rFonts w:ascii="Verdana" w:hAnsi="Verdana"/>
          <w:sz w:val="22"/>
        </w:rPr>
        <w:t>- Правилами устройства и безопасной эксплуатации подъемников (вышек)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lastRenderedPageBreak/>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должны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травмоопасных мест</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b/>
          <w:sz w:val="22"/>
        </w:rPr>
        <w:lastRenderedPageBreak/>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p>
    <w:p w:rsidR="00DD5A5C" w:rsidRPr="00DD5A5C" w:rsidRDefault="00DD5A5C" w:rsidP="006A5097">
      <w:pPr>
        <w:pStyle w:val="af8"/>
        <w:numPr>
          <w:ilvl w:val="2"/>
          <w:numId w:val="8"/>
        </w:numPr>
        <w:spacing w:after="120"/>
        <w:ind w:left="1134" w:hanging="1134"/>
        <w:contextualSpacing w:val="0"/>
        <w:jc w:val="both"/>
        <w:rPr>
          <w:rFonts w:ascii="Verdana" w:hAnsi="Verdana"/>
          <w:b/>
          <w:sz w:val="22"/>
        </w:rPr>
      </w:pPr>
      <w:r w:rsidRPr="00DD5A5C">
        <w:rPr>
          <w:rFonts w:ascii="Verdana" w:hAnsi="Verdana"/>
          <w:b/>
          <w:sz w:val="22"/>
        </w:rPr>
        <w:t xml:space="preserve">Запрещено использовать подвесные подъемники для людей на всех площадках </w:t>
      </w:r>
      <w:r w:rsidR="005C2FCC">
        <w:rPr>
          <w:rFonts w:ascii="Verdana" w:hAnsi="Verdana"/>
          <w:b/>
          <w:sz w:val="22"/>
        </w:rPr>
        <w:t>Заказчика</w:t>
      </w:r>
      <w:r w:rsidRPr="00DD5A5C">
        <w:rPr>
          <w:rFonts w:ascii="Verdana" w:hAnsi="Verdana"/>
          <w:b/>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w:t>
      </w:r>
      <w:r w:rsidRPr="00DD5A5C">
        <w:rPr>
          <w:rFonts w:ascii="Verdana" w:hAnsi="Verdana" w:cs="Calibri"/>
          <w:sz w:val="22"/>
        </w:rPr>
        <w:lastRenderedPageBreak/>
        <w:t>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индивидуальном средствам защит от падения с высоты относятся:</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блокирующее устройства с втяжным тросом типа рулетки (ГОСТ Р 50849-96, тип Д, Е / ГОСТ Р 12.4.184-95)</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p>
    <w:p w:rsidR="00DD5A5C" w:rsidRPr="00DD5A5C" w:rsidRDefault="00DD5A5C" w:rsidP="006A5097">
      <w:pPr>
        <w:spacing w:after="120"/>
        <w:ind w:left="1134"/>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 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lastRenderedPageBreak/>
        <w:t>надлежащее хранение</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 xml:space="preserve">ся заполненное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lastRenderedPageBreak/>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должна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lastRenderedPageBreak/>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 и</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4663EF">
      <w:pPr>
        <w:numPr>
          <w:ilvl w:val="1"/>
          <w:numId w:val="25"/>
        </w:numPr>
        <w:spacing w:after="120"/>
        <w:ind w:left="2268" w:hanging="567"/>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Ответственный за безопасность подтверждает своей подписью на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напряжение, так и разделительные трансформаторы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Перед применением газовые шланги необходимо проверять на герметичность</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 чтобы</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b/>
          <w:bCs/>
          <w:sz w:val="22"/>
        </w:rPr>
        <w:t>не допустить травмирования людей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фундаментов и подземных объектов</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lastRenderedPageBreak/>
        <w:t>не допустить возникновения угрозы проникновения грунтовых вод или затопления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 а также</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Зоной безопасности считается зона, ограниченная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немеханизированные работы в грунте на глубине не более 20 см</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lastRenderedPageBreak/>
        <w:t>размывание котлованов и/или скважин</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Для проведения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необходимо и наряд-допуск на выполнение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 в случае выявления нарушений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w:t>
      </w:r>
      <w:r w:rsidRPr="00DD5A5C">
        <w:rPr>
          <w:rFonts w:ascii="Verdana" w:hAnsi="Verdana" w:cs="Calibri"/>
          <w:sz w:val="22"/>
        </w:rPr>
        <w:lastRenderedPageBreak/>
        <w:t xml:space="preserve">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Запрещается подкапывать и перемещать кабели без 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 начала </w:t>
      </w:r>
      <w:r w:rsidRPr="00DD5A5C">
        <w:rPr>
          <w:rFonts w:ascii="Verdana" w:hAnsi="Verdana" w:cs="Calibri"/>
          <w:sz w:val="22"/>
        </w:rPr>
        <w:t xml:space="preserve"> необходимо сделать анализ воды. После получения результатов анализа ответственно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DD5A5C" w:rsidP="004663EF">
      <w:pPr>
        <w:spacing w:after="120"/>
        <w:ind w:left="1134" w:hanging="1134"/>
        <w:jc w:val="both"/>
        <w:rPr>
          <w:rFonts w:ascii="Verdana" w:hAnsi="Verdana" w:cs="Calibri"/>
          <w:sz w:val="22"/>
        </w:rPr>
      </w:pPr>
      <w:r w:rsidRPr="00DD5A5C">
        <w:rPr>
          <w:rFonts w:ascii="Verdana" w:hAnsi="Verdana" w:cs="Calibri"/>
          <w:sz w:val="22"/>
        </w:rPr>
        <w:t>При выполнении работ вблизи железнодорожных путей зоной безопасности является участок, ограниченный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lastRenderedPageBreak/>
        <w:t>необходимо классифицировать на основании исходящих от них опасностей,</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на опасности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 xml:space="preserve">общепризнанные правила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источниками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законодательсвта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lastRenderedPageBreak/>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lastRenderedPageBreak/>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Утилизацию с учетом возможности использования систем утилизации </w:t>
      </w:r>
      <w:r w:rsidR="005C2FCC">
        <w:rPr>
          <w:rFonts w:ascii="Verdana" w:hAnsi="Verdana" w:cs="Calibri"/>
          <w:sz w:val="22"/>
        </w:rPr>
        <w:t>Заказчика</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должно быть документально </w:t>
      </w:r>
      <w:r w:rsidR="00DD5A5C" w:rsidRPr="00DD5A5C">
        <w:rPr>
          <w:rFonts w:ascii="Verdana" w:hAnsi="Verdana" w:cs="Calibri"/>
          <w:sz w:val="22"/>
        </w:rPr>
        <w:lastRenderedPageBreak/>
        <w:t>подтверждено) и иметь практический опыт</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w:t>
      </w:r>
      <w:r w:rsidR="00C0677A">
        <w:rPr>
          <w:rFonts w:ascii="Verdana" w:hAnsi="Verdana" w:cs="Calibri"/>
          <w:sz w:val="22"/>
        </w:rPr>
        <w:t xml:space="preserve"> </w:t>
      </w:r>
      <w:r>
        <w:rPr>
          <w:rFonts w:ascii="Verdana" w:hAnsi="Verdana" w:cs="Calibri"/>
          <w:sz w:val="22"/>
        </w:rPr>
        <w:t>должен</w:t>
      </w:r>
      <w:r w:rsidR="00DD5A5C" w:rsidRPr="00DD5A5C">
        <w:rPr>
          <w:rFonts w:ascii="Verdana" w:hAnsi="Verdana" w:cs="Calibri"/>
          <w:sz w:val="22"/>
        </w:rPr>
        <w:t xml:space="preserve"> </w:t>
      </w:r>
      <w:r>
        <w:rPr>
          <w:rFonts w:ascii="Verdana" w:hAnsi="Verdana" w:cs="Calibri"/>
          <w:sz w:val="22"/>
        </w:rPr>
        <w:t>обеспечить</w:t>
      </w:r>
      <w:r w:rsidR="00DD5A5C" w:rsidRPr="00DD5A5C">
        <w:rPr>
          <w:rFonts w:ascii="Verdana" w:hAnsi="Verdana" w:cs="Calibri"/>
          <w:sz w:val="22"/>
        </w:rPr>
        <w:t>, чтобы лица, которые обслуживают электрические приборы, наряду с профессиональной квалификацией были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имели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со сжиженным газом, в частности, при выполнении работ по сносу необходимо оснащать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защита от обрыв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 xml:space="preserve">Работы по пескоструйной обработке необходимо проводить в соответствии с инструкцией по охране труда. </w:t>
      </w:r>
      <w:r w:rsidR="00DD5A5C" w:rsidRPr="00DD5A5C">
        <w:rPr>
          <w:rFonts w:ascii="Verdana" w:hAnsi="Verdana" w:cs="Calibri"/>
          <w:sz w:val="22"/>
        </w:rPr>
        <w:t xml:space="preserve"> Необходимо учитывать особые требования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необходимо однозначно распределить ответственность и определить время перерывов. Сотрудников необходимо проинструктировать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lastRenderedPageBreak/>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Для проведения работ по очистке под высоким давлением наряду с разрешением на выполнение работ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lastRenderedPageBreak/>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 xml:space="preserve">по охране труда, технике безопасности и окружающей среды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основных правил ОТ</w:t>
      </w:r>
      <w:r w:rsidR="008205C3">
        <w:rPr>
          <w:rFonts w:ascii="Verdana" w:hAnsi="Verdana"/>
          <w:sz w:val="22"/>
        </w:rPr>
        <w:t>и</w:t>
      </w:r>
      <w:r w:rsidRPr="000E3794">
        <w:rPr>
          <w:rFonts w:ascii="Verdana" w:hAnsi="Verdana"/>
          <w:sz w:val="22"/>
        </w:rPr>
        <w:t>ТБ,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Pr="000E3794">
        <w:rPr>
          <w:rFonts w:ascii="Verdana" w:hAnsi="Verdana"/>
          <w:sz w:val="22"/>
        </w:rPr>
        <w:br/>
        <w:t>- учёт уровня техники в области ОТ</w:t>
      </w:r>
      <w:r w:rsidR="008205C3">
        <w:rPr>
          <w:rFonts w:ascii="Verdana" w:hAnsi="Verdana"/>
          <w:sz w:val="22"/>
        </w:rPr>
        <w:t>и</w:t>
      </w:r>
      <w:r w:rsidRPr="000E3794">
        <w:rPr>
          <w:rFonts w:ascii="Verdana" w:hAnsi="Verdana"/>
          <w:sz w:val="22"/>
        </w:rPr>
        <w:t>ТБ</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Pr="000E3794">
        <w:rPr>
          <w:rFonts w:ascii="Verdana" w:hAnsi="Verdana"/>
          <w:sz w:val="22"/>
        </w:rPr>
        <w:br/>
        <w:t>- учёт уровня техники в области охраны окружающей среды</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lastRenderedPageBreak/>
        <w:t>Вид и организация проведения инструктажей и обучения работников подрядчиком, включая работники его субподрядных организаций</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 вместе с планом безопасности.</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8205C3">
        <w:rPr>
          <w:rFonts w:ascii="Verdana" w:hAnsi="Verdana"/>
          <w:sz w:val="22"/>
        </w:rPr>
        <w:t>и</w:t>
      </w:r>
      <w:r w:rsidRPr="000E3794">
        <w:rPr>
          <w:rFonts w:ascii="Verdana" w:hAnsi="Verdana"/>
          <w:sz w:val="22"/>
        </w:rPr>
        <w:t>ТБ. Отчет содержит следующие информации:</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часов отработанных собственным персоналом и персоналом субподрядных организаций</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нечастных случаев, требуемых оказание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мероприятий за отчетный период</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органам)</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темы и количество учащихся проведенных повторных и внеочередных инструктажей</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проработки информации о травматизме</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p>
    <w:p w:rsidR="00B32CB3" w:rsidRPr="00B32CB3" w:rsidRDefault="00B32CB3" w:rsidP="00B32CB3">
      <w:pPr>
        <w:pStyle w:val="af8"/>
        <w:spacing w:after="120"/>
        <w:ind w:left="1512"/>
        <w:contextualSpacing w:val="0"/>
        <w:rPr>
          <w:rFonts w:ascii="Verdana" w:hAnsi="Verdana"/>
          <w:sz w:val="22"/>
        </w:rPr>
      </w:pPr>
    </w:p>
    <w:p w:rsidR="00253A26" w:rsidRPr="00253A26" w:rsidRDefault="004C2D77" w:rsidP="00C93866">
      <w:pPr>
        <w:numPr>
          <w:ilvl w:val="0"/>
          <w:numId w:val="8"/>
        </w:numPr>
        <w:spacing w:after="120"/>
        <w:ind w:left="1134" w:hanging="1134"/>
        <w:rPr>
          <w:rFonts w:ascii="Verdana" w:hAnsi="Verdana" w:cs="Calibri"/>
          <w:b/>
          <w:sz w:val="28"/>
          <w:szCs w:val="28"/>
        </w:rPr>
      </w:pPr>
      <w:bookmarkStart w:id="6" w:name="_Toc52958252"/>
      <w:bookmarkStart w:id="7" w:name="_Toc253138467"/>
      <w:bookmarkStart w:id="8" w:name="_Toc253142056"/>
      <w:bookmarkStart w:id="9" w:name="_Toc256020297"/>
      <w:bookmarkStart w:id="10" w:name="_GoBack"/>
      <w:bookmarkEnd w:id="2"/>
      <w:bookmarkEnd w:id="3"/>
      <w:bookmarkEnd w:id="4"/>
      <w:bookmarkEnd w:id="5"/>
      <w:bookmarkEnd w:id="10"/>
      <w:r w:rsidRPr="00253A26">
        <w:rPr>
          <w:rFonts w:ascii="Verdana" w:hAnsi="Verdana"/>
          <w:b/>
          <w:sz w:val="28"/>
          <w:szCs w:val="28"/>
        </w:rPr>
        <w:lastRenderedPageBreak/>
        <w:t>Нормативные ссылки</w:t>
      </w:r>
      <w:bookmarkStart w:id="11" w:name="_Toc253138468"/>
      <w:bookmarkStart w:id="12" w:name="_Toc52958253"/>
      <w:bookmarkStart w:id="13" w:name="_Toc253138469"/>
      <w:bookmarkStart w:id="14" w:name="_Toc253142057"/>
      <w:bookmarkEnd w:id="6"/>
      <w:bookmarkEnd w:id="7"/>
      <w:bookmarkEnd w:id="8"/>
      <w:bookmarkEnd w:id="9"/>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1"/>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Pr="00BC205E">
        <w:rPr>
          <w:rFonts w:ascii="Verdana" w:hAnsi="Verdana"/>
          <w:sz w:val="22"/>
        </w:rPr>
        <w:b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Pr="00BC205E">
        <w:rPr>
          <w:rFonts w:ascii="Verdana" w:hAnsi="Verdana"/>
          <w:sz w:val="22"/>
        </w:rPr>
        <w:br/>
        <w:t>РД 34.03.201-97</w:t>
      </w:r>
    </w:p>
    <w:p w:rsidR="00621BBB" w:rsidRDefault="00621BBB" w:rsidP="00C93866">
      <w:pPr>
        <w:pStyle w:val="110"/>
        <w:numPr>
          <w:ilvl w:val="0"/>
          <w:numId w:val="35"/>
        </w:numPr>
        <w:spacing w:after="120" w:line="240" w:lineRule="auto"/>
        <w:ind w:left="1985" w:hanging="851"/>
        <w:rPr>
          <w:rFonts w:ascii="Verdana" w:hAnsi="Verdana"/>
          <w:sz w:val="22"/>
        </w:rPr>
      </w:pPr>
      <w:r>
        <w:rPr>
          <w:rFonts w:ascii="Verdana" w:hAnsi="Verdana"/>
          <w:sz w:val="22"/>
        </w:rPr>
        <w:t xml:space="preserve">Инструкция по организации и производству работ повышенной опасности </w:t>
      </w:r>
    </w:p>
    <w:p w:rsidR="00621BBB" w:rsidRPr="00607370" w:rsidRDefault="00621BBB" w:rsidP="00C93866">
      <w:pPr>
        <w:pStyle w:val="110"/>
        <w:spacing w:after="120" w:line="240" w:lineRule="auto"/>
        <w:ind w:left="1985"/>
        <w:rPr>
          <w:rFonts w:ascii="Verdana" w:hAnsi="Verdana"/>
          <w:sz w:val="22"/>
        </w:rPr>
      </w:pPr>
      <w:r>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 общая часть.</w:t>
      </w:r>
      <w:r w:rsidRPr="00BC205E">
        <w:rPr>
          <w:rFonts w:ascii="Verdana" w:hAnsi="Verdana"/>
          <w:sz w:val="22"/>
          <w:lang w:val="de-DE"/>
        </w:rPr>
        <w:b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Pr>
          <w:rFonts w:ascii="Verdana" w:hAnsi="Verdana"/>
          <w:sz w:val="22"/>
          <w:lang w:val="de-DE"/>
        </w:rPr>
        <w:br/>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 </w:t>
      </w:r>
      <w:r>
        <w:rPr>
          <w:rFonts w:ascii="Verdana" w:hAnsi="Verdana"/>
          <w:sz w:val="22"/>
          <w:lang w:val="de-DE"/>
        </w:rPr>
        <w:br/>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Del="008220D5">
        <w:rPr>
          <w:rFonts w:ascii="Verdana" w:hAnsi="Verdana"/>
          <w:sz w:val="22"/>
          <w:lang w:val="de-DE"/>
        </w:rPr>
        <w:t xml:space="preserve"> </w:t>
      </w:r>
      <w:r>
        <w:rPr>
          <w:rFonts w:ascii="Verdana" w:hAnsi="Verdana"/>
          <w:sz w:val="22"/>
          <w:lang w:val="de-DE"/>
        </w:rPr>
        <w:br/>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Pr>
          <w:rFonts w:ascii="Verdana" w:hAnsi="Verdana"/>
          <w:sz w:val="22"/>
          <w:lang w:val="de-DE"/>
        </w:rPr>
        <w:br/>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D47402" w:rsidRPr="00D47402">
        <w:rPr>
          <w:rFonts w:ascii="Verdana" w:hAnsi="Verdana" w:cs="Times New Roman CYR"/>
          <w:bCs/>
          <w:sz w:val="22"/>
        </w:rPr>
        <w:b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AE6D27">
        <w:rPr>
          <w:rFonts w:ascii="Verdana" w:hAnsi="Verdana" w:cs="Arial"/>
          <w:sz w:val="22"/>
        </w:rPr>
        <w:b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 Технические условия</w:t>
      </w:r>
      <w:r>
        <w:b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 24258-88</w:t>
      </w:r>
      <w:r>
        <w:tab/>
        <w:t>Средства подмащивания; Общие технические условия</w:t>
      </w:r>
      <w:r>
        <w:b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w:t>
      </w:r>
      <w:r w:rsidRPr="00640D89">
        <w:rPr>
          <w:rFonts w:ascii="Verdana" w:hAnsi="Verdana"/>
          <w:bCs/>
          <w:sz w:val="22"/>
        </w:rPr>
        <w:lastRenderedPageBreak/>
        <w:t>категории, условия эксплуатации, хранения и транспортирования в части воздействия климатических факторов внешней среды</w:t>
      </w:r>
      <w:r>
        <w:rPr>
          <w:rFonts w:ascii="Verdana" w:hAnsi="Verdana"/>
          <w:bCs/>
          <w:sz w:val="22"/>
        </w:rPr>
        <w:b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Pr>
          <w:rFonts w:ascii="Verdana" w:hAnsi="Verdana"/>
          <w:bCs/>
          <w:sz w:val="22"/>
        </w:rPr>
        <w:br/>
        <w:t>1990-01</w:t>
      </w:r>
    </w:p>
    <w:p w:rsidR="00B23D10" w:rsidRPr="00B23D10" w:rsidRDefault="00B23D10"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 xml:space="preserve">Межотраслевые правила по охране труда при работе на высоте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 xml:space="preserve">Правила устройств и безопасной эксплуатации строительных подъемниках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B23D10" w:rsidRPr="007C6EAA" w:rsidRDefault="00B23D10" w:rsidP="00B23D10">
      <w:pPr>
        <w:pStyle w:val="110"/>
        <w:tabs>
          <w:tab w:val="left" w:pos="1560"/>
          <w:tab w:val="left" w:pos="3686"/>
        </w:tabs>
        <w:spacing w:after="120" w:line="240" w:lineRule="auto"/>
        <w:ind w:left="2977"/>
        <w:rPr>
          <w:rFonts w:ascii="Verdana" w:hAnsi="Verdana"/>
          <w:sz w:val="22"/>
        </w:rPr>
      </w:pPr>
    </w:p>
    <w:p w:rsidR="00B32CB3" w:rsidRPr="00253A26" w:rsidRDefault="00165949" w:rsidP="000B7518">
      <w:pPr>
        <w:numPr>
          <w:ilvl w:val="0"/>
          <w:numId w:val="8"/>
        </w:numPr>
        <w:spacing w:after="120"/>
        <w:ind w:hanging="720"/>
        <w:rPr>
          <w:rFonts w:ascii="Verdana" w:hAnsi="Verdana" w:cs="Calibri"/>
          <w:b/>
          <w:sz w:val="28"/>
          <w:szCs w:val="28"/>
        </w:rPr>
      </w:pPr>
      <w:bookmarkStart w:id="15" w:name="_Toc198486517"/>
      <w:bookmarkStart w:id="16" w:name="_Toc210724539"/>
      <w:bookmarkStart w:id="17" w:name="_Toc256020312"/>
      <w:bookmarkEnd w:id="12"/>
      <w:bookmarkEnd w:id="13"/>
      <w:bookmarkEnd w:id="14"/>
      <w:r>
        <w:rPr>
          <w:rFonts w:ascii="Verdana" w:hAnsi="Verdana"/>
          <w:b/>
          <w:sz w:val="28"/>
          <w:szCs w:val="28"/>
        </w:rPr>
        <w:br w:type="page"/>
      </w:r>
      <w:r w:rsidR="00CF67CB" w:rsidRPr="00253A26">
        <w:rPr>
          <w:rFonts w:ascii="Verdana" w:hAnsi="Verdana"/>
          <w:b/>
          <w:sz w:val="28"/>
          <w:szCs w:val="28"/>
        </w:rPr>
        <w:lastRenderedPageBreak/>
        <w:t xml:space="preserve">Управление </w:t>
      </w:r>
      <w:bookmarkEnd w:id="15"/>
      <w:bookmarkEnd w:id="16"/>
      <w:r w:rsidR="00A93D4E" w:rsidRPr="00253A26">
        <w:rPr>
          <w:rFonts w:ascii="Verdana" w:hAnsi="Verdana"/>
          <w:b/>
          <w:sz w:val="28"/>
          <w:szCs w:val="28"/>
        </w:rPr>
        <w:t>регламентом</w:t>
      </w:r>
      <w:bookmarkEnd w:id="17"/>
    </w:p>
    <w:p w:rsidR="00054C01" w:rsidRDefault="00A93D4E" w:rsidP="00224B66">
      <w:pPr>
        <w:spacing w:after="0" w:line="240" w:lineRule="auto"/>
        <w:ind w:left="709"/>
        <w:rPr>
          <w:rFonts w:ascii="Verdana" w:hAnsi="Verdana"/>
          <w:sz w:val="22"/>
        </w:rPr>
      </w:pPr>
      <w:r w:rsidRPr="00B32CB3">
        <w:rPr>
          <w:rFonts w:ascii="Verdana" w:hAnsi="Verdana"/>
          <w:sz w:val="22"/>
        </w:rPr>
        <w:t xml:space="preserve">Управление настоящим регламентом осуществляется в соответствии с требованиями раздела 7 </w:t>
      </w:r>
      <w:r w:rsidR="00525E33" w:rsidRPr="00B32CB3">
        <w:rPr>
          <w:rFonts w:ascii="Verdana" w:hAnsi="Verdana"/>
          <w:sz w:val="22"/>
        </w:rPr>
        <w:t>регламента по управлению документацией</w:t>
      </w:r>
      <w:r w:rsidRPr="00B32CB3">
        <w:rPr>
          <w:rFonts w:ascii="Verdana" w:hAnsi="Verdana"/>
          <w:sz w:val="22"/>
        </w:rPr>
        <w:t>.</w:t>
      </w:r>
    </w:p>
    <w:p w:rsidR="00054C01" w:rsidRDefault="00054C01" w:rsidP="00224B66">
      <w:pPr>
        <w:pStyle w:val="4"/>
        <w:numPr>
          <w:ilvl w:val="0"/>
          <w:numId w:val="0"/>
        </w:numPr>
        <w:ind w:firstLine="709"/>
        <w:rPr>
          <w:rFonts w:ascii="Verdana" w:hAnsi="Verdana"/>
          <w:sz w:val="22"/>
        </w:rPr>
      </w:pPr>
    </w:p>
    <w:sectPr w:rsidR="00054C01" w:rsidSect="008530FA">
      <w:headerReference w:type="default" r:id="rId12"/>
      <w:footerReference w:type="default" r:id="rId13"/>
      <w:pgSz w:w="11906" w:h="16838"/>
      <w:pgMar w:top="1134" w:right="424" w:bottom="426"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E43" w:rsidRDefault="005D0E43" w:rsidP="000523AF">
      <w:pPr>
        <w:spacing w:after="0" w:line="240" w:lineRule="auto"/>
      </w:pPr>
      <w:r>
        <w:separator/>
      </w:r>
    </w:p>
  </w:endnote>
  <w:endnote w:type="continuationSeparator" w:id="0">
    <w:p w:rsidR="005D0E43" w:rsidRDefault="005D0E43"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E4" w:rsidRPr="00F220CA" w:rsidRDefault="00065DE4">
    <w:pPr>
      <w:pStyle w:val="af0"/>
      <w:jc w:val="right"/>
      <w:rPr>
        <w:rFonts w:ascii="Verdana" w:hAnsi="Verdana"/>
        <w:sz w:val="20"/>
        <w:szCs w:val="20"/>
      </w:rPr>
    </w:pPr>
    <w:r w:rsidRPr="00F220CA">
      <w:rPr>
        <w:rFonts w:ascii="Verdana" w:hAnsi="Verdana"/>
        <w:sz w:val="20"/>
        <w:szCs w:val="20"/>
      </w:rPr>
      <w:fldChar w:fldCharType="begin"/>
    </w:r>
    <w:r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9462BE">
      <w:rPr>
        <w:rFonts w:ascii="Verdana" w:hAnsi="Verdana"/>
        <w:noProof/>
        <w:sz w:val="20"/>
        <w:szCs w:val="20"/>
      </w:rPr>
      <w:t>40</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E43" w:rsidRDefault="005D0E43" w:rsidP="000523AF">
      <w:pPr>
        <w:spacing w:after="0" w:line="240" w:lineRule="auto"/>
      </w:pPr>
      <w:r>
        <w:separator/>
      </w:r>
    </w:p>
  </w:footnote>
  <w:footnote w:type="continuationSeparator" w:id="0">
    <w:p w:rsidR="005D0E43" w:rsidRDefault="005D0E43"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E4" w:rsidRPr="00B060AC" w:rsidRDefault="00065DE4" w:rsidP="006E1086">
    <w:pPr>
      <w:pStyle w:val="a4"/>
      <w:jc w:val="right"/>
      <w:rPr>
        <w:i/>
        <w:sz w:val="22"/>
      </w:rPr>
    </w:pPr>
    <w:r w:rsidRPr="00B060AC">
      <w:rPr>
        <w:i/>
        <w:sz w:val="22"/>
      </w:rPr>
      <w:t>СМ</w:t>
    </w:r>
    <w:r>
      <w:rPr>
        <w:i/>
        <w:sz w:val="22"/>
      </w:rPr>
      <w:t>О</w:t>
    </w:r>
    <w:r w:rsidRPr="00B060AC">
      <w:rPr>
        <w:i/>
        <w:sz w:val="22"/>
      </w:rPr>
      <w:t>ЗиБТ.</w:t>
    </w:r>
    <w:r>
      <w:rPr>
        <w:i/>
        <w:sz w:val="22"/>
      </w:rPr>
      <w:t xml:space="preserve"> </w:t>
    </w:r>
    <w:r w:rsidRPr="00B060AC">
      <w:rPr>
        <w:i/>
        <w:sz w:val="22"/>
      </w:rPr>
      <w:t>Управление документацией</w:t>
    </w:r>
    <w:r>
      <w:rPr>
        <w:i/>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3CF157D"/>
    <w:multiLevelType w:val="multilevel"/>
    <w:tmpl w:val="08C01E56"/>
    <w:lvl w:ilvl="0">
      <w:start w:val="1"/>
      <w:numFmt w:val="decimal"/>
      <w:lvlText w:val="%1."/>
      <w:lvlJc w:val="left"/>
      <w:pPr>
        <w:ind w:left="720" w:hanging="360"/>
      </w:pPr>
      <w:rPr>
        <w:rFonts w:cs="Times New Roman" w:hint="default"/>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6">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9">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6">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8">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6"/>
  </w:num>
  <w:num w:numId="2">
    <w:abstractNumId w:val="39"/>
  </w:num>
  <w:num w:numId="3">
    <w:abstractNumId w:val="25"/>
  </w:num>
  <w:num w:numId="4">
    <w:abstractNumId w:val="37"/>
  </w:num>
  <w:num w:numId="5">
    <w:abstractNumId w:val="40"/>
  </w:num>
  <w:num w:numId="6">
    <w:abstractNumId w:val="0"/>
  </w:num>
  <w:num w:numId="7">
    <w:abstractNumId w:val="29"/>
  </w:num>
  <w:num w:numId="8">
    <w:abstractNumId w:val="15"/>
  </w:num>
  <w:num w:numId="9">
    <w:abstractNumId w:val="21"/>
  </w:num>
  <w:num w:numId="10">
    <w:abstractNumId w:val="2"/>
  </w:num>
  <w:num w:numId="11">
    <w:abstractNumId w:val="32"/>
  </w:num>
  <w:num w:numId="12">
    <w:abstractNumId w:val="35"/>
  </w:num>
  <w:num w:numId="13">
    <w:abstractNumId w:val="11"/>
  </w:num>
  <w:num w:numId="14">
    <w:abstractNumId w:val="24"/>
  </w:num>
  <w:num w:numId="15">
    <w:abstractNumId w:val="28"/>
  </w:num>
  <w:num w:numId="16">
    <w:abstractNumId w:val="22"/>
  </w:num>
  <w:num w:numId="17">
    <w:abstractNumId w:val="4"/>
  </w:num>
  <w:num w:numId="18">
    <w:abstractNumId w:val="14"/>
  </w:num>
  <w:num w:numId="19">
    <w:abstractNumId w:val="19"/>
  </w:num>
  <w:num w:numId="20">
    <w:abstractNumId w:val="26"/>
  </w:num>
  <w:num w:numId="21">
    <w:abstractNumId w:val="38"/>
  </w:num>
  <w:num w:numId="22">
    <w:abstractNumId w:val="20"/>
  </w:num>
  <w:num w:numId="23">
    <w:abstractNumId w:val="36"/>
  </w:num>
  <w:num w:numId="24">
    <w:abstractNumId w:val="33"/>
  </w:num>
  <w:num w:numId="25">
    <w:abstractNumId w:val="18"/>
  </w:num>
  <w:num w:numId="26">
    <w:abstractNumId w:val="34"/>
  </w:num>
  <w:num w:numId="27">
    <w:abstractNumId w:val="3"/>
  </w:num>
  <w:num w:numId="28">
    <w:abstractNumId w:val="7"/>
  </w:num>
  <w:num w:numId="29">
    <w:abstractNumId w:val="13"/>
  </w:num>
  <w:num w:numId="30">
    <w:abstractNumId w:val="27"/>
  </w:num>
  <w:num w:numId="31">
    <w:abstractNumId w:val="5"/>
  </w:num>
  <w:num w:numId="32">
    <w:abstractNumId w:val="1"/>
  </w:num>
  <w:num w:numId="33">
    <w:abstractNumId w:val="23"/>
  </w:num>
  <w:num w:numId="34">
    <w:abstractNumId w:val="31"/>
  </w:num>
  <w:num w:numId="35">
    <w:abstractNumId w:val="8"/>
  </w:num>
  <w:num w:numId="36">
    <w:abstractNumId w:val="30"/>
  </w:num>
  <w:num w:numId="37">
    <w:abstractNumId w:val="10"/>
  </w:num>
  <w:num w:numId="38">
    <w:abstractNumId w:val="6"/>
  </w:num>
  <w:num w:numId="39">
    <w:abstractNumId w:val="1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0D1B"/>
    <w:rsid w:val="00005B13"/>
    <w:rsid w:val="0000708C"/>
    <w:rsid w:val="000106E9"/>
    <w:rsid w:val="00021F74"/>
    <w:rsid w:val="00037BE7"/>
    <w:rsid w:val="00050881"/>
    <w:rsid w:val="000523AF"/>
    <w:rsid w:val="00054C01"/>
    <w:rsid w:val="00062765"/>
    <w:rsid w:val="000631C0"/>
    <w:rsid w:val="00065DE4"/>
    <w:rsid w:val="00067E52"/>
    <w:rsid w:val="0007650F"/>
    <w:rsid w:val="000774ED"/>
    <w:rsid w:val="000804E8"/>
    <w:rsid w:val="00082569"/>
    <w:rsid w:val="00082BE8"/>
    <w:rsid w:val="000861DC"/>
    <w:rsid w:val="00093266"/>
    <w:rsid w:val="000A5261"/>
    <w:rsid w:val="000A7F7F"/>
    <w:rsid w:val="000B04D1"/>
    <w:rsid w:val="000B4AFE"/>
    <w:rsid w:val="000B65E4"/>
    <w:rsid w:val="000B7518"/>
    <w:rsid w:val="000C18F6"/>
    <w:rsid w:val="000C606A"/>
    <w:rsid w:val="000C7E46"/>
    <w:rsid w:val="000D0BF5"/>
    <w:rsid w:val="000D32EB"/>
    <w:rsid w:val="000D6EF6"/>
    <w:rsid w:val="000E3794"/>
    <w:rsid w:val="000F03C5"/>
    <w:rsid w:val="000F0FEB"/>
    <w:rsid w:val="000F2EA9"/>
    <w:rsid w:val="000F46B6"/>
    <w:rsid w:val="00106DEC"/>
    <w:rsid w:val="00111146"/>
    <w:rsid w:val="00111A5B"/>
    <w:rsid w:val="00114DCC"/>
    <w:rsid w:val="00121066"/>
    <w:rsid w:val="001359C4"/>
    <w:rsid w:val="00141F9E"/>
    <w:rsid w:val="0014206D"/>
    <w:rsid w:val="00142781"/>
    <w:rsid w:val="00150392"/>
    <w:rsid w:val="001518DC"/>
    <w:rsid w:val="00157671"/>
    <w:rsid w:val="00165949"/>
    <w:rsid w:val="001667DF"/>
    <w:rsid w:val="00166FD0"/>
    <w:rsid w:val="00172E66"/>
    <w:rsid w:val="0018379D"/>
    <w:rsid w:val="00186051"/>
    <w:rsid w:val="001872E6"/>
    <w:rsid w:val="00195411"/>
    <w:rsid w:val="00195D87"/>
    <w:rsid w:val="001A34CD"/>
    <w:rsid w:val="001A3700"/>
    <w:rsid w:val="001A4B21"/>
    <w:rsid w:val="001B2671"/>
    <w:rsid w:val="001B63FD"/>
    <w:rsid w:val="001D0D1B"/>
    <w:rsid w:val="001D0DBA"/>
    <w:rsid w:val="001D36A5"/>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70EC2"/>
    <w:rsid w:val="00276353"/>
    <w:rsid w:val="0028010D"/>
    <w:rsid w:val="00290E75"/>
    <w:rsid w:val="00292E55"/>
    <w:rsid w:val="002A6AE5"/>
    <w:rsid w:val="002A7CEA"/>
    <w:rsid w:val="002B25F3"/>
    <w:rsid w:val="002C188A"/>
    <w:rsid w:val="002C5E9F"/>
    <w:rsid w:val="002C7853"/>
    <w:rsid w:val="002D142A"/>
    <w:rsid w:val="002D2994"/>
    <w:rsid w:val="002E12D8"/>
    <w:rsid w:val="0030042E"/>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1142"/>
    <w:rsid w:val="00371528"/>
    <w:rsid w:val="003800C3"/>
    <w:rsid w:val="003833FF"/>
    <w:rsid w:val="003839C6"/>
    <w:rsid w:val="00391CE9"/>
    <w:rsid w:val="00392381"/>
    <w:rsid w:val="00394A17"/>
    <w:rsid w:val="00395078"/>
    <w:rsid w:val="00397CB1"/>
    <w:rsid w:val="003A492E"/>
    <w:rsid w:val="003A5AA4"/>
    <w:rsid w:val="003B1B4A"/>
    <w:rsid w:val="003B5281"/>
    <w:rsid w:val="003C13EF"/>
    <w:rsid w:val="003D2DBD"/>
    <w:rsid w:val="003D49F1"/>
    <w:rsid w:val="003E627C"/>
    <w:rsid w:val="003E67C2"/>
    <w:rsid w:val="003F7D34"/>
    <w:rsid w:val="004007E4"/>
    <w:rsid w:val="004013F7"/>
    <w:rsid w:val="0040413E"/>
    <w:rsid w:val="00405561"/>
    <w:rsid w:val="00406F4C"/>
    <w:rsid w:val="00407D2C"/>
    <w:rsid w:val="00410438"/>
    <w:rsid w:val="0041298D"/>
    <w:rsid w:val="004134C8"/>
    <w:rsid w:val="00426B10"/>
    <w:rsid w:val="00426B64"/>
    <w:rsid w:val="00430347"/>
    <w:rsid w:val="00431799"/>
    <w:rsid w:val="004353AF"/>
    <w:rsid w:val="00435C1F"/>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7471"/>
    <w:rsid w:val="004A1A44"/>
    <w:rsid w:val="004A2440"/>
    <w:rsid w:val="004A3818"/>
    <w:rsid w:val="004A42E6"/>
    <w:rsid w:val="004C036A"/>
    <w:rsid w:val="004C2D77"/>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531E"/>
    <w:rsid w:val="0051348A"/>
    <w:rsid w:val="005216FC"/>
    <w:rsid w:val="0052244B"/>
    <w:rsid w:val="005231F3"/>
    <w:rsid w:val="00525E33"/>
    <w:rsid w:val="00527B33"/>
    <w:rsid w:val="00543A1D"/>
    <w:rsid w:val="005444F9"/>
    <w:rsid w:val="005456E8"/>
    <w:rsid w:val="00545B02"/>
    <w:rsid w:val="00550141"/>
    <w:rsid w:val="005506B9"/>
    <w:rsid w:val="00552D1C"/>
    <w:rsid w:val="00554303"/>
    <w:rsid w:val="005602A5"/>
    <w:rsid w:val="00565236"/>
    <w:rsid w:val="00571FC0"/>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0E43"/>
    <w:rsid w:val="005D52C1"/>
    <w:rsid w:val="005D5B7D"/>
    <w:rsid w:val="005D6F66"/>
    <w:rsid w:val="005E0A55"/>
    <w:rsid w:val="005E48FB"/>
    <w:rsid w:val="005E7437"/>
    <w:rsid w:val="005F04F2"/>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494B"/>
    <w:rsid w:val="00666ABD"/>
    <w:rsid w:val="0067128D"/>
    <w:rsid w:val="00672CAF"/>
    <w:rsid w:val="006777D8"/>
    <w:rsid w:val="006849EF"/>
    <w:rsid w:val="00690695"/>
    <w:rsid w:val="00691F86"/>
    <w:rsid w:val="006A19D9"/>
    <w:rsid w:val="006A5097"/>
    <w:rsid w:val="006A66E1"/>
    <w:rsid w:val="006B4014"/>
    <w:rsid w:val="006C27CB"/>
    <w:rsid w:val="006C7D00"/>
    <w:rsid w:val="006D58F4"/>
    <w:rsid w:val="006D5EFF"/>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5C1"/>
    <w:rsid w:val="00783077"/>
    <w:rsid w:val="00787054"/>
    <w:rsid w:val="007936C7"/>
    <w:rsid w:val="00796ADC"/>
    <w:rsid w:val="00797463"/>
    <w:rsid w:val="00797486"/>
    <w:rsid w:val="007A0544"/>
    <w:rsid w:val="007A2DFD"/>
    <w:rsid w:val="007A74E3"/>
    <w:rsid w:val="007B01D0"/>
    <w:rsid w:val="007B72D0"/>
    <w:rsid w:val="007C3A77"/>
    <w:rsid w:val="007C6EAA"/>
    <w:rsid w:val="007C7AF7"/>
    <w:rsid w:val="007D362B"/>
    <w:rsid w:val="007D689B"/>
    <w:rsid w:val="007D6C33"/>
    <w:rsid w:val="007E4A67"/>
    <w:rsid w:val="007F122A"/>
    <w:rsid w:val="007F63F5"/>
    <w:rsid w:val="007F6BC9"/>
    <w:rsid w:val="008051F6"/>
    <w:rsid w:val="00812E34"/>
    <w:rsid w:val="008205C3"/>
    <w:rsid w:val="00826342"/>
    <w:rsid w:val="00834A85"/>
    <w:rsid w:val="00835AB0"/>
    <w:rsid w:val="00837E15"/>
    <w:rsid w:val="0084094B"/>
    <w:rsid w:val="00845F40"/>
    <w:rsid w:val="008530FA"/>
    <w:rsid w:val="0085398D"/>
    <w:rsid w:val="00854677"/>
    <w:rsid w:val="00855A3E"/>
    <w:rsid w:val="00872C02"/>
    <w:rsid w:val="00872DAF"/>
    <w:rsid w:val="00874DE7"/>
    <w:rsid w:val="008775CB"/>
    <w:rsid w:val="00884BBF"/>
    <w:rsid w:val="008900DF"/>
    <w:rsid w:val="00892905"/>
    <w:rsid w:val="00896DC5"/>
    <w:rsid w:val="008A0CC1"/>
    <w:rsid w:val="008A5B21"/>
    <w:rsid w:val="008B16B0"/>
    <w:rsid w:val="008B412F"/>
    <w:rsid w:val="008C3E3C"/>
    <w:rsid w:val="008D3669"/>
    <w:rsid w:val="008D3A0C"/>
    <w:rsid w:val="008E284C"/>
    <w:rsid w:val="008E54B6"/>
    <w:rsid w:val="008F32C9"/>
    <w:rsid w:val="008F4183"/>
    <w:rsid w:val="008F6A7D"/>
    <w:rsid w:val="00901FB8"/>
    <w:rsid w:val="009050A4"/>
    <w:rsid w:val="009051C7"/>
    <w:rsid w:val="00906217"/>
    <w:rsid w:val="0090644A"/>
    <w:rsid w:val="00910201"/>
    <w:rsid w:val="009150BC"/>
    <w:rsid w:val="00916038"/>
    <w:rsid w:val="009171F1"/>
    <w:rsid w:val="00924764"/>
    <w:rsid w:val="0092584B"/>
    <w:rsid w:val="00933C8D"/>
    <w:rsid w:val="0093499C"/>
    <w:rsid w:val="009462BE"/>
    <w:rsid w:val="009477DE"/>
    <w:rsid w:val="00951258"/>
    <w:rsid w:val="009528D8"/>
    <w:rsid w:val="00952A4E"/>
    <w:rsid w:val="00954099"/>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D01AD"/>
    <w:rsid w:val="009D04A9"/>
    <w:rsid w:val="009D2B6E"/>
    <w:rsid w:val="009D35D4"/>
    <w:rsid w:val="009D6E5C"/>
    <w:rsid w:val="009D7858"/>
    <w:rsid w:val="009F36D3"/>
    <w:rsid w:val="009F4A37"/>
    <w:rsid w:val="00A0013C"/>
    <w:rsid w:val="00A00D52"/>
    <w:rsid w:val="00A07CFD"/>
    <w:rsid w:val="00A14E81"/>
    <w:rsid w:val="00A15130"/>
    <w:rsid w:val="00A16172"/>
    <w:rsid w:val="00A23E6F"/>
    <w:rsid w:val="00A31867"/>
    <w:rsid w:val="00A35699"/>
    <w:rsid w:val="00A3612A"/>
    <w:rsid w:val="00A378E1"/>
    <w:rsid w:val="00A57C4C"/>
    <w:rsid w:val="00A62B36"/>
    <w:rsid w:val="00A64D7E"/>
    <w:rsid w:val="00A65857"/>
    <w:rsid w:val="00A65D84"/>
    <w:rsid w:val="00A66AB4"/>
    <w:rsid w:val="00A66D67"/>
    <w:rsid w:val="00A67672"/>
    <w:rsid w:val="00A70881"/>
    <w:rsid w:val="00A71099"/>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60AC"/>
    <w:rsid w:val="00B10025"/>
    <w:rsid w:val="00B1089E"/>
    <w:rsid w:val="00B161CD"/>
    <w:rsid w:val="00B22182"/>
    <w:rsid w:val="00B23D10"/>
    <w:rsid w:val="00B2756A"/>
    <w:rsid w:val="00B32CB3"/>
    <w:rsid w:val="00B34021"/>
    <w:rsid w:val="00B35935"/>
    <w:rsid w:val="00B40B94"/>
    <w:rsid w:val="00B467B8"/>
    <w:rsid w:val="00B47092"/>
    <w:rsid w:val="00B473D8"/>
    <w:rsid w:val="00B522A9"/>
    <w:rsid w:val="00B61569"/>
    <w:rsid w:val="00B71F9D"/>
    <w:rsid w:val="00B80B20"/>
    <w:rsid w:val="00B81192"/>
    <w:rsid w:val="00B82410"/>
    <w:rsid w:val="00B838B3"/>
    <w:rsid w:val="00B97CDD"/>
    <w:rsid w:val="00BA2313"/>
    <w:rsid w:val="00BA7804"/>
    <w:rsid w:val="00BC1C87"/>
    <w:rsid w:val="00BC1C9E"/>
    <w:rsid w:val="00BC205E"/>
    <w:rsid w:val="00BC6147"/>
    <w:rsid w:val="00BD1799"/>
    <w:rsid w:val="00BD1EA9"/>
    <w:rsid w:val="00BD2AF4"/>
    <w:rsid w:val="00BD503D"/>
    <w:rsid w:val="00BE6959"/>
    <w:rsid w:val="00BF5F7A"/>
    <w:rsid w:val="00C05348"/>
    <w:rsid w:val="00C0677A"/>
    <w:rsid w:val="00C13E64"/>
    <w:rsid w:val="00C16E2F"/>
    <w:rsid w:val="00C36B3D"/>
    <w:rsid w:val="00C42331"/>
    <w:rsid w:val="00C47CF0"/>
    <w:rsid w:val="00C513AF"/>
    <w:rsid w:val="00C56A1C"/>
    <w:rsid w:val="00C61E7A"/>
    <w:rsid w:val="00C636DB"/>
    <w:rsid w:val="00C64998"/>
    <w:rsid w:val="00C65E27"/>
    <w:rsid w:val="00C708C0"/>
    <w:rsid w:val="00C70CFB"/>
    <w:rsid w:val="00C72DF9"/>
    <w:rsid w:val="00C82C63"/>
    <w:rsid w:val="00C85D59"/>
    <w:rsid w:val="00C90A94"/>
    <w:rsid w:val="00C93866"/>
    <w:rsid w:val="00C96D42"/>
    <w:rsid w:val="00CA7B31"/>
    <w:rsid w:val="00CC7C2C"/>
    <w:rsid w:val="00CD5F84"/>
    <w:rsid w:val="00CE7013"/>
    <w:rsid w:val="00CF007A"/>
    <w:rsid w:val="00CF086D"/>
    <w:rsid w:val="00CF14AC"/>
    <w:rsid w:val="00CF2F6F"/>
    <w:rsid w:val="00CF67CB"/>
    <w:rsid w:val="00D00971"/>
    <w:rsid w:val="00D03E8A"/>
    <w:rsid w:val="00D0666A"/>
    <w:rsid w:val="00D117D8"/>
    <w:rsid w:val="00D20482"/>
    <w:rsid w:val="00D3143B"/>
    <w:rsid w:val="00D316DC"/>
    <w:rsid w:val="00D31859"/>
    <w:rsid w:val="00D33CB9"/>
    <w:rsid w:val="00D36FEC"/>
    <w:rsid w:val="00D47402"/>
    <w:rsid w:val="00D51AB9"/>
    <w:rsid w:val="00D7278B"/>
    <w:rsid w:val="00D82A37"/>
    <w:rsid w:val="00D83BAD"/>
    <w:rsid w:val="00D85D07"/>
    <w:rsid w:val="00D938FE"/>
    <w:rsid w:val="00DA1EAF"/>
    <w:rsid w:val="00DA465C"/>
    <w:rsid w:val="00DA5A0A"/>
    <w:rsid w:val="00DB00CB"/>
    <w:rsid w:val="00DB1FC4"/>
    <w:rsid w:val="00DB3A40"/>
    <w:rsid w:val="00DB4DC6"/>
    <w:rsid w:val="00DC0C1C"/>
    <w:rsid w:val="00DD5A5C"/>
    <w:rsid w:val="00DD636C"/>
    <w:rsid w:val="00DD6B88"/>
    <w:rsid w:val="00DE2349"/>
    <w:rsid w:val="00DE2DD5"/>
    <w:rsid w:val="00DE3D12"/>
    <w:rsid w:val="00DE4C97"/>
    <w:rsid w:val="00DE6CBE"/>
    <w:rsid w:val="00DE7B75"/>
    <w:rsid w:val="00DF23B7"/>
    <w:rsid w:val="00E009F1"/>
    <w:rsid w:val="00E01E5A"/>
    <w:rsid w:val="00E03FB0"/>
    <w:rsid w:val="00E053A7"/>
    <w:rsid w:val="00E061F0"/>
    <w:rsid w:val="00E117D6"/>
    <w:rsid w:val="00E15095"/>
    <w:rsid w:val="00E15A16"/>
    <w:rsid w:val="00E2350C"/>
    <w:rsid w:val="00E242C3"/>
    <w:rsid w:val="00E308CB"/>
    <w:rsid w:val="00E347BF"/>
    <w:rsid w:val="00E373A6"/>
    <w:rsid w:val="00E44F44"/>
    <w:rsid w:val="00E501CA"/>
    <w:rsid w:val="00E574D1"/>
    <w:rsid w:val="00E64B9E"/>
    <w:rsid w:val="00E741D0"/>
    <w:rsid w:val="00E74740"/>
    <w:rsid w:val="00E74A92"/>
    <w:rsid w:val="00E8049E"/>
    <w:rsid w:val="00E8184D"/>
    <w:rsid w:val="00E943D9"/>
    <w:rsid w:val="00E954E8"/>
    <w:rsid w:val="00EA516B"/>
    <w:rsid w:val="00EB0A8D"/>
    <w:rsid w:val="00EB24E6"/>
    <w:rsid w:val="00EB5123"/>
    <w:rsid w:val="00EB5D78"/>
    <w:rsid w:val="00EC1083"/>
    <w:rsid w:val="00EC13FF"/>
    <w:rsid w:val="00EC2F2C"/>
    <w:rsid w:val="00EC312A"/>
    <w:rsid w:val="00EC3241"/>
    <w:rsid w:val="00EC73B0"/>
    <w:rsid w:val="00ED78FE"/>
    <w:rsid w:val="00EE75FC"/>
    <w:rsid w:val="00EE7DDE"/>
    <w:rsid w:val="00EF6387"/>
    <w:rsid w:val="00F00C68"/>
    <w:rsid w:val="00F074B1"/>
    <w:rsid w:val="00F20931"/>
    <w:rsid w:val="00F24275"/>
    <w:rsid w:val="00F2705C"/>
    <w:rsid w:val="00F27C7A"/>
    <w:rsid w:val="00F30C9B"/>
    <w:rsid w:val="00F41D7B"/>
    <w:rsid w:val="00F44358"/>
    <w:rsid w:val="00F5008A"/>
    <w:rsid w:val="00F504BC"/>
    <w:rsid w:val="00F54467"/>
    <w:rsid w:val="00F55C3C"/>
    <w:rsid w:val="00F65056"/>
    <w:rsid w:val="00F747D6"/>
    <w:rsid w:val="00F77E66"/>
    <w:rsid w:val="00F80160"/>
    <w:rsid w:val="00F82A24"/>
    <w:rsid w:val="00FA65D9"/>
    <w:rsid w:val="00FB2879"/>
    <w:rsid w:val="00FB388B"/>
    <w:rsid w:val="00FC43F2"/>
    <w:rsid w:val="00FC6F46"/>
    <w:rsid w:val="00FD12D7"/>
    <w:rsid w:val="00FD2B97"/>
    <w:rsid w:val="00FD434B"/>
    <w:rsid w:val="00FD4A4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21"/>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C7FDDC-DC47-46D3-A8B4-0F68F940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42</Pages>
  <Words>12791</Words>
  <Characters>72912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
  <LinksUpToDate>false</LinksUpToDate>
  <CharactersWithSpaces>85532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keywords/>
  <dc:description/>
  <cp:lastModifiedBy>Чуйков Алексей Евгеньевич</cp:lastModifiedBy>
  <cp:revision>8</cp:revision>
  <cp:lastPrinted>2013-10-29T12:44:00Z</cp:lastPrinted>
  <dcterms:created xsi:type="dcterms:W3CDTF">2010-11-11T14:24:00Z</dcterms:created>
  <dcterms:modified xsi:type="dcterms:W3CDTF">2013-10-29T14:06:00Z</dcterms:modified>
  <cp:category>Вариант 3</cp:category>
  <cp:contentStatus>Отправлен на утверждение</cp:contentStatus>
</cp:coreProperties>
</file>